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B3A68" w14:textId="157C4B4E" w:rsidR="00551B8C" w:rsidRDefault="00551B8C" w:rsidP="00551B8C">
      <w:pPr>
        <w:outlineLvl w:val="0"/>
        <w:rPr>
          <w:rFonts w:ascii="Times New Roman" w:hAnsi="Times New Roman" w:cs="Times New Roman"/>
          <w:sz w:val="32"/>
          <w:szCs w:val="32"/>
          <w:rtl/>
          <w:lang w:bidi="fa-IR"/>
        </w:rPr>
      </w:pPr>
      <w:r w:rsidRPr="00551B8C">
        <w:rPr>
          <w:rFonts w:ascii="Times New Roman" w:hAnsi="Times New Roman" w:cs="Times New Roman" w:hint="cs"/>
          <w:sz w:val="32"/>
          <w:szCs w:val="32"/>
          <w:rtl/>
          <w:lang w:bidi="fa-IR"/>
        </w:rPr>
        <w:t>فیبروز و آمفیزم ریوی ترکیبی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                                </w:t>
      </w:r>
    </w:p>
    <w:p w14:paraId="68302672" w14:textId="0FFC6C45" w:rsidR="00551B8C" w:rsidRDefault="00551B8C" w:rsidP="00551B8C">
      <w:pPr>
        <w:outlineLvl w:val="0"/>
        <w:rPr>
          <w:rFonts w:ascii="Times New Roman" w:hAnsi="Times New Roman" w:cs="Times New Roman"/>
          <w:sz w:val="32"/>
          <w:szCs w:val="32"/>
          <w:rtl/>
          <w:lang w:bidi="fa-IR"/>
        </w:rPr>
      </w:pP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                               </w:t>
      </w:r>
    </w:p>
    <w:p w14:paraId="4063C5E6" w14:textId="77777777" w:rsidR="0062657E" w:rsidRDefault="0062657E" w:rsidP="00551B8C">
      <w:pPr>
        <w:outlineLvl w:val="0"/>
        <w:rPr>
          <w:rFonts w:ascii="Times New Roman" w:hAnsi="Times New Roman" w:cs="Times New Roman"/>
          <w:sz w:val="20"/>
          <w:szCs w:val="20"/>
          <w:rtl/>
          <w:lang w:bidi="fa-IR"/>
        </w:rPr>
      </w:pPr>
    </w:p>
    <w:p w14:paraId="4EABEA69" w14:textId="2687F31A" w:rsidR="0062657E" w:rsidRDefault="00551B8C" w:rsidP="0062657E">
      <w:pPr>
        <w:jc w:val="center"/>
        <w:outlineLvl w:val="0"/>
        <w:rPr>
          <w:rFonts w:ascii="Times New Roman" w:hAnsi="Times New Roman" w:cs="Times New Roman"/>
          <w:sz w:val="20"/>
          <w:szCs w:val="20"/>
          <w:rtl/>
          <w:lang w:bidi="fa-IR"/>
        </w:rPr>
      </w:pP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ترجمه و تلخیص: ملیکا ولی زاده(۱) - سارا علی نژاد (۲)</w:t>
      </w:r>
    </w:p>
    <w:p w14:paraId="33DB6790" w14:textId="344CA087" w:rsidR="00551B8C" w:rsidRPr="00551B8C" w:rsidRDefault="00551B8C" w:rsidP="00551B8C">
      <w:pPr>
        <w:outlineLvl w:val="0"/>
        <w:rPr>
          <w:rFonts w:ascii="Times New Roman" w:hAnsi="Times New Roman" w:cs="Times New Roman"/>
          <w:sz w:val="20"/>
          <w:szCs w:val="20"/>
          <w:rtl/>
          <w:lang w:bidi="fa-IR"/>
        </w:rPr>
      </w:pP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                                           </w:t>
      </w:r>
    </w:p>
    <w:p w14:paraId="74652B04" w14:textId="3D754D66" w:rsidR="00551B8C" w:rsidRDefault="00551B8C" w:rsidP="0062657E">
      <w:pPr>
        <w:outlineLvl w:val="0"/>
        <w:rPr>
          <w:rFonts w:ascii="Times New Roman" w:hAnsi="Times New Roman" w:cs="Times New Roman"/>
          <w:sz w:val="18"/>
          <w:szCs w:val="18"/>
          <w:lang w:bidi="fa-IR"/>
        </w:rPr>
      </w:pP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62657E">
        <w:rPr>
          <w:rFonts w:ascii="Times New Roman" w:hAnsi="Times New Roman" w:cs="Times New Roman"/>
          <w:sz w:val="16"/>
          <w:szCs w:val="16"/>
          <w:lang w:bidi="fa-IR"/>
        </w:rPr>
        <w:t xml:space="preserve">National Research Institute of Tuberculosis and Lung </w:t>
      </w:r>
      <w:proofErr w:type="gramStart"/>
      <w:r w:rsidR="0062657E">
        <w:rPr>
          <w:rFonts w:ascii="Times New Roman" w:hAnsi="Times New Roman" w:cs="Times New Roman"/>
          <w:sz w:val="16"/>
          <w:szCs w:val="16"/>
          <w:lang w:bidi="fa-IR"/>
        </w:rPr>
        <w:t>Diseases(</w:t>
      </w:r>
      <w:proofErr w:type="gramEnd"/>
      <w:r w:rsidR="0062657E">
        <w:rPr>
          <w:rFonts w:ascii="Times New Roman" w:hAnsi="Times New Roman" w:cs="Times New Roman"/>
          <w:sz w:val="16"/>
          <w:szCs w:val="16"/>
          <w:lang w:bidi="fa-IR"/>
        </w:rPr>
        <w:t>NRITLD),</w:t>
      </w:r>
      <w:proofErr w:type="spellStart"/>
      <w:r w:rsidR="0062657E">
        <w:rPr>
          <w:rFonts w:ascii="Times New Roman" w:hAnsi="Times New Roman" w:cs="Times New Roman"/>
          <w:sz w:val="16"/>
          <w:szCs w:val="16"/>
          <w:lang w:bidi="fa-IR"/>
        </w:rPr>
        <w:t>Shahid</w:t>
      </w:r>
      <w:proofErr w:type="spellEnd"/>
      <w:r w:rsidR="0062657E">
        <w:rPr>
          <w:rFonts w:ascii="Times New Roman" w:hAnsi="Times New Roman" w:cs="Times New Roman"/>
          <w:sz w:val="16"/>
          <w:szCs w:val="16"/>
          <w:lang w:bidi="fa-IR"/>
        </w:rPr>
        <w:t xml:space="preserve"> </w:t>
      </w:r>
      <w:proofErr w:type="spellStart"/>
      <w:r w:rsidR="0062657E">
        <w:rPr>
          <w:rFonts w:ascii="Times New Roman" w:hAnsi="Times New Roman" w:cs="Times New Roman"/>
          <w:sz w:val="16"/>
          <w:szCs w:val="16"/>
          <w:lang w:bidi="fa-IR"/>
        </w:rPr>
        <w:t>Beheshti</w:t>
      </w:r>
      <w:proofErr w:type="spellEnd"/>
      <w:r w:rsidR="0062657E">
        <w:rPr>
          <w:rFonts w:ascii="Times New Roman" w:hAnsi="Times New Roman" w:cs="Times New Roman"/>
          <w:sz w:val="16"/>
          <w:szCs w:val="16"/>
          <w:lang w:bidi="fa-IR"/>
        </w:rPr>
        <w:t xml:space="preserve"> University of Medical </w:t>
      </w:r>
      <w:proofErr w:type="spellStart"/>
      <w:r w:rsidR="0062657E">
        <w:rPr>
          <w:rFonts w:ascii="Times New Roman" w:hAnsi="Times New Roman" w:cs="Times New Roman"/>
          <w:sz w:val="16"/>
          <w:szCs w:val="16"/>
          <w:lang w:bidi="fa-IR"/>
        </w:rPr>
        <w:t>Sciences</w:t>
      </w:r>
      <w:r w:rsidR="00CE4B4D">
        <w:rPr>
          <w:rFonts w:ascii="Times New Roman" w:hAnsi="Times New Roman" w:cs="Times New Roman"/>
          <w:sz w:val="16"/>
          <w:szCs w:val="16"/>
          <w:lang w:bidi="fa-IR"/>
        </w:rPr>
        <w:t>,Tehran,Iran</w:t>
      </w:r>
      <w:proofErr w:type="spellEnd"/>
      <w:r w:rsidR="0062657E">
        <w:rPr>
          <w:rFonts w:ascii="Times New Roman" w:hAnsi="Times New Roman" w:cs="Times New Roman"/>
          <w:sz w:val="16"/>
          <w:szCs w:val="16"/>
          <w:lang w:bidi="fa-IR"/>
        </w:rPr>
        <w:t xml:space="preserve"> (1</w:t>
      </w:r>
      <w:r w:rsidR="0062657E">
        <w:rPr>
          <w:rFonts w:ascii="Times New Roman" w:hAnsi="Times New Roman" w:cs="Times New Roman"/>
          <w:sz w:val="18"/>
          <w:szCs w:val="18"/>
          <w:lang w:bidi="fa-IR"/>
        </w:rPr>
        <w:t xml:space="preserve"> </w:t>
      </w:r>
    </w:p>
    <w:p w14:paraId="5AE29A65" w14:textId="0707D79A" w:rsidR="00551B8C" w:rsidRDefault="00CE4B4D" w:rsidP="0062657E">
      <w:pPr>
        <w:outlineLvl w:val="0"/>
        <w:rPr>
          <w:rFonts w:ascii="Times New Roman" w:hAnsi="Times New Roman" w:cs="Times New Roman"/>
          <w:sz w:val="18"/>
          <w:szCs w:val="18"/>
          <w:lang w:bidi="fa-IR"/>
        </w:rPr>
      </w:pPr>
      <w:r>
        <w:rPr>
          <w:rFonts w:ascii="Times New Roman" w:hAnsi="Times New Roman" w:cs="Times New Roman"/>
          <w:sz w:val="16"/>
          <w:szCs w:val="16"/>
          <w:lang w:bidi="fa-IR"/>
        </w:rPr>
        <w:t xml:space="preserve"> </w:t>
      </w:r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 xml:space="preserve">National Research Institute of Tuberculosis and Lung </w:t>
      </w:r>
      <w:proofErr w:type="gramStart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>Diseases(</w:t>
      </w:r>
      <w:proofErr w:type="gramEnd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>NRITLD),</w:t>
      </w:r>
      <w:proofErr w:type="spellStart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>Shahid</w:t>
      </w:r>
      <w:proofErr w:type="spellEnd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 xml:space="preserve"> </w:t>
      </w:r>
      <w:proofErr w:type="spellStart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>Beheshti</w:t>
      </w:r>
      <w:proofErr w:type="spellEnd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 xml:space="preserve"> University of Medical</w:t>
      </w:r>
      <w:r>
        <w:rPr>
          <w:rFonts w:ascii="Times New Roman" w:hAnsi="Times New Roman" w:cs="Times New Roman"/>
          <w:sz w:val="18"/>
          <w:szCs w:val="18"/>
          <w:lang w:bidi="fa-I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bidi="fa-IR"/>
        </w:rPr>
        <w:t>Sciences,Tehran,Iran</w:t>
      </w:r>
      <w:proofErr w:type="spellEnd"/>
      <w:r w:rsidR="0062657E">
        <w:rPr>
          <w:rFonts w:ascii="Times New Roman" w:hAnsi="Times New Roman" w:cs="Times New Roman"/>
          <w:sz w:val="18"/>
          <w:szCs w:val="18"/>
          <w:lang w:bidi="fa-IR"/>
        </w:rPr>
        <w:t xml:space="preserve"> (</w:t>
      </w:r>
      <w:r w:rsidR="0062657E">
        <w:rPr>
          <w:rFonts w:ascii="Times New Roman" w:hAnsi="Times New Roman" w:cs="Times New Roman"/>
          <w:sz w:val="16"/>
          <w:szCs w:val="16"/>
          <w:lang w:bidi="fa-IR"/>
        </w:rPr>
        <w:t>2</w:t>
      </w:r>
    </w:p>
    <w:p w14:paraId="4249F9D8" w14:textId="77777777" w:rsidR="00551B8C" w:rsidRDefault="00551B8C" w:rsidP="00551B8C">
      <w:pPr>
        <w:outlineLvl w:val="0"/>
        <w:rPr>
          <w:rFonts w:ascii="Times New Roman" w:hAnsi="Times New Roman" w:cs="Times New Roman"/>
          <w:sz w:val="18"/>
          <w:szCs w:val="18"/>
          <w:lang w:bidi="fa-IR"/>
        </w:rPr>
      </w:pPr>
    </w:p>
    <w:p w14:paraId="2B02B58D" w14:textId="3270784A" w:rsidR="00551B8C" w:rsidRPr="00551B8C" w:rsidRDefault="00551B8C" w:rsidP="00551B8C">
      <w:pPr>
        <w:outlineLvl w:val="0"/>
        <w:rPr>
          <w:rFonts w:ascii="Times New Roman" w:hAnsi="Times New Roman" w:cs="Times New Roman"/>
          <w:sz w:val="32"/>
          <w:szCs w:val="32"/>
          <w:rtl/>
          <w:lang w:bidi="fa-IR"/>
        </w:rPr>
      </w:pPr>
      <w:r>
        <w:rPr>
          <w:rFonts w:ascii="Times New Roman" w:hAnsi="Times New Roman" w:cs="Times New Roman"/>
          <w:sz w:val="32"/>
          <w:szCs w:val="32"/>
          <w:lang w:bidi="fa-IR"/>
        </w:rPr>
        <w:t xml:space="preserve">                  Combined Pulmonary Fibrosis and Emphysema </w:t>
      </w:r>
    </w:p>
    <w:p w14:paraId="43CB6E21" w14:textId="4FA88FB8" w:rsidR="00747AB2" w:rsidRDefault="00747AB2" w:rsidP="00747AB2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t>A Narrative Review</w:t>
      </w:r>
      <w:r w:rsidR="00551B8C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E4CCEF0" w14:textId="0C600953" w:rsidR="00747AB2" w:rsidRDefault="00EC209C" w:rsidP="00747AB2">
      <w:pPr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t>Masahiro Nemoto,MD_Chi Wan Koo,MD</w:t>
      </w:r>
    </w:p>
    <w:p w14:paraId="7EDCCD52" w14:textId="77BDB294" w:rsidR="00747AB2" w:rsidRPr="00747AB2" w:rsidRDefault="00747AB2" w:rsidP="00747AB2">
      <w:pPr>
        <w:jc w:val="center"/>
        <w:rPr>
          <w:rFonts w:cs="B Zar"/>
          <w:sz w:val="24"/>
          <w:szCs w:val="24"/>
          <w:lang w:bidi="fa-IR"/>
        </w:rPr>
      </w:pPr>
      <w:r>
        <w:rPr>
          <w:rFonts w:cs="B Zar"/>
          <w:sz w:val="24"/>
          <w:szCs w:val="24"/>
          <w:rtl/>
          <w:lang w:bidi="fa-IR"/>
        </w:rPr>
        <w:t>Paul D. Scanlon,MD- _Jay H. Ryu,MD</w:t>
      </w:r>
    </w:p>
    <w:p w14:paraId="5EF9A95C" w14:textId="1B1449F0" w:rsidR="00F20971" w:rsidRPr="00551B8C" w:rsidRDefault="00F20971" w:rsidP="00551B8C">
      <w:pPr>
        <w:jc w:val="center"/>
        <w:rPr>
          <w:rFonts w:cs="B Zar"/>
          <w:sz w:val="32"/>
          <w:szCs w:val="32"/>
          <w:lang w:bidi="fa-IR"/>
        </w:rPr>
      </w:pPr>
    </w:p>
    <w:p w14:paraId="0F0CECFA" w14:textId="77777777" w:rsidR="00CA0E0B" w:rsidRDefault="00CA0E0B" w:rsidP="001915E5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46B9CB7D" w14:textId="77777777" w:rsidR="00551B8C" w:rsidRDefault="00551B8C" w:rsidP="001915E5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60C05F7D" w14:textId="77777777" w:rsidR="00551B8C" w:rsidRDefault="00551B8C" w:rsidP="001915E5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6447B26C" w14:textId="5FE5D443" w:rsidR="00F20971" w:rsidRPr="0059418C" w:rsidRDefault="00F20971" w:rsidP="00CA0E0B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چکیده:</w:t>
      </w:r>
    </w:p>
    <w:p w14:paraId="0B3F2D63" w14:textId="551FF04A" w:rsidR="00987756" w:rsidRDefault="00987756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CA0E0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یک سندروم بالینی-ـفیزیولوژیک ـ رادیوگرافیک است و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بروز هم زمان دو بیماری  آمفیزم و فیبروز ریوی اطلاق می شود که تشخیص آن می تواند سخت باشد و با موربیدیتی و مورتالیتی بالا همراه است .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تشخیص </w:t>
      </w:r>
      <w:r w:rsidR="00F20971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بحث برانگیز است زیرا دو بیماری میتوانند اثرات خنثی کننده داشته باشند که منجر به رادیوگرافی قفسه سینه و اسپیرومتری نرمال فریبنده در بیمار با شکایت تنگی نفس شود. </w:t>
      </w:r>
    </w:p>
    <w:p w14:paraId="121D57B9" w14:textId="11BCD69B" w:rsidR="0059418C" w:rsidRDefault="00987756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تقریب</w:t>
      </w:r>
      <w:r w:rsidR="0059418C" w:rsidRPr="0059418C">
        <w:rPr>
          <w:rFonts w:ascii="Times New Roman" w:hAnsi="Times New Roman" w:cs="Times New Roman" w:hint="cs"/>
          <w:sz w:val="28"/>
          <w:szCs w:val="28"/>
          <w:rtl/>
          <w:lang w:bidi="fa-IR"/>
        </w:rPr>
        <w:t>ا</w:t>
      </w:r>
      <w:r w:rsidR="0059418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۵٪ از بیماران </w:t>
      </w:r>
      <w:r w:rsidR="0059418C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COPD </w:t>
      </w:r>
      <w:r w:rsidR="0059418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</w:t>
      </w:r>
      <w:r w:rsidR="0059418C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59418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مبتلا هستند که منجر به فیبروز و آمفیزم ریه  ترکیبی(</w:t>
      </w:r>
      <w:r w:rsidR="0059418C">
        <w:rPr>
          <w:rFonts w:ascii="Times New Roman" w:hAnsi="Times New Roman" w:cs="Times New Roman"/>
          <w:sz w:val="28"/>
          <w:szCs w:val="28"/>
          <w:rtl/>
          <w:lang w:bidi="fa-IR"/>
        </w:rPr>
        <w:t>CPFE)</w:t>
      </w:r>
    </w:p>
    <w:p w14:paraId="7DEBF61A" w14:textId="0FCFC18E" w:rsidR="00CA0E0B" w:rsidRDefault="0059418C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می شود . اگرچه این پدیده برای بیش از ۳۰ سال است که شناخته شده اما اصطلاح </w:t>
      </w:r>
      <w:r w:rsidR="002F2A98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ابتدا به عنوان واریانتی از</w:t>
      </w:r>
      <w:r w:rsidR="002F2A98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2F2A9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بیماران با سابقه آمفیزم ابداع شد اما در طیف مختلفی از بیماران </w:t>
      </w:r>
      <w:r w:rsidR="00F20971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شامل بیماری مرتبط با بافت همبند یا پنومونیت ناشی از ازدیاد حساسیت</w:t>
      </w:r>
      <w:r w:rsidR="00CA0E0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سایر، 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تشخیص داده شد</w:t>
      </w:r>
      <w:r w:rsidR="002F2A98"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  <w:r w:rsidR="00987756">
        <w:rPr>
          <w:rFonts w:ascii="Times New Roman" w:hAnsi="Times New Roman" w:cs="Times New Roman" w:hint="cs"/>
          <w:sz w:val="28"/>
          <w:szCs w:val="28"/>
          <w:rtl/>
          <w:lang w:bidi="fa-IR"/>
        </w:rPr>
        <w:t>اما یک توافق برای کرایتریای تشخیصی دقیق و استراتژی مدیریتی بهینه هنوز تعیین نشده است</w:t>
      </w:r>
      <w:r w:rsidR="00CA0E0B">
        <w:rPr>
          <w:rFonts w:ascii="Times New Roman" w:hAnsi="Times New Roman" w:cs="Times New Roman" w:hint="cs"/>
          <w:sz w:val="28"/>
          <w:szCs w:val="28"/>
          <w:rtl/>
          <w:lang w:bidi="fa-IR"/>
        </w:rPr>
        <w:t>. بیماران مبتلا ریسک بالاتر ابتلا به هایپرتنشن پولمونری و کنسر ریه را دارند. در نتیجه پزشکان نیازمند شناخت ویژگی های این بیماری در کنار پیامدهای پیشگویی کننده آن هستند.</w:t>
      </w:r>
    </w:p>
    <w:p w14:paraId="1693A648" w14:textId="16E48A71" w:rsidR="002F2A98" w:rsidRDefault="00CA0E0B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ماهیت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هنوز در بالین ناشناخته است </w:t>
      </w:r>
      <w:r w:rsidR="003072A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زیرا ناهنجاری های ناشی از فیبروز پارانشیم و آمفیزم در حضور همزمان میتوانند ارزیابی بیمار را مبهم کنند.افزایش کمپلیانس ریه در آمفیزم در تقابل با کاهش آن در فیبروز ریه میباشد که میتواند باعث ایجاد اسپیرومتری و حجم های ریوی نرمال شود. اگرچه هر دو باعث کاهش ظرفیت انتشار مونوکسید کربن </w:t>
      </w:r>
      <w:r w:rsidR="003072AC">
        <w:rPr>
          <w:rFonts w:ascii="Times New Roman" w:hAnsi="Times New Roman" w:cs="Times New Roman"/>
          <w:sz w:val="28"/>
          <w:szCs w:val="28"/>
          <w:rtl/>
          <w:lang w:bidi="fa-IR"/>
        </w:rPr>
        <w:t>(DLCO)</w:t>
      </w:r>
      <w:r w:rsidR="003072A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می شوند که معمولا در این موارد به شدت کاهش یافته است</w:t>
      </w:r>
      <w:r w:rsidR="00987756"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</w:p>
    <w:p w14:paraId="1481AF29" w14:textId="067FC1CF" w:rsidR="00987756" w:rsidRDefault="00987756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در این مقاله مروری</w:t>
      </w:r>
      <w:r w:rsidR="003072AC">
        <w:rPr>
          <w:rFonts w:ascii="Times New Roman" w:hAnsi="Times New Roman" w:cs="Times New Roman" w:hint="cs"/>
          <w:sz w:val="28"/>
          <w:szCs w:val="28"/>
          <w:rtl/>
          <w:lang w:bidi="fa-IR"/>
        </w:rPr>
        <w:t>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خلاصه ای از مطالعات از سال ۱۹۹۰ تا ۱۵ آگوست ۲۰۲۲ بررسی شده است</w:t>
      </w:r>
      <w:r w:rsidR="003072A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به تاریخچه ، اپیدمیولوژی، پاتوژنز ، علایم بالینی و تشخیص و درمان این بیماری پرداخته شده است</w:t>
      </w:r>
      <w:r w:rsidR="00A927D8"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</w:p>
    <w:p w14:paraId="14BECABD" w14:textId="77777777" w:rsidR="00987756" w:rsidRDefault="00987756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6E41308D" w14:textId="77777777" w:rsidR="00987756" w:rsidRDefault="00987756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تاریخچه:</w:t>
      </w:r>
    </w:p>
    <w:p w14:paraId="5FAB0D80" w14:textId="77777777" w:rsidR="00B867D5" w:rsidRDefault="00987756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اگرچه حضور ترکیب فیبروز ریوی و آمفیزم در رادیوگرافی قفسه سینه یا اتوپسی سال ها پیش توصیف شده بود ، اما در سال ۱۹۹۰ 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Wiggins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همکاران ۸ بیمار سیگاری با تنگی نفس شدید و الگوی غیرتیپیک در عملکرد ریوی به صورت کاهش شدید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DLCO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FEV1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VC</w:t>
      </w:r>
      <w:r w:rsidR="00B867D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حفظ شده ، گزارش </w:t>
      </w:r>
      <w:r w:rsidR="00B867D5"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>کردند. آمفیزم نواحی فوقانی و فیبروز نواحی تحتانی در سی تی اسکن مشاهده می شد که در رادیوگرافی مشاهده اش دشوار بود.</w:t>
      </w:r>
    </w:p>
    <w:p w14:paraId="4EF7FBB9" w14:textId="77777777" w:rsidR="00B867D5" w:rsidRDefault="00B867D5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سال ۱۹۹۱ 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Schwartz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همکاران راجع به تاثیر مصرف سیگار در بیماران فیبروز ایدیوپاتیک ریوی تحقیق کردند و اطلاعات آن ها ارتباط قوی بین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pack/year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DLCO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پایین تر و حجم های ریوی بالاتر در بین بیماران فیبروز ایدیوپاتیک ریوی را نشان داد.</w:t>
      </w:r>
    </w:p>
    <w:p w14:paraId="5CD10893" w14:textId="77777777" w:rsidR="00951D7A" w:rsidRDefault="00B867D5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Cottin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همکاران ، در مطالعه ای بر روی ویژگی های سی تی اسکن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شامل فیبروز ایدیوپاتیک و سایر فنوتیپ های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، دریافتند که همه آن ها در حال حاضر سیگاری یا در گذشته سیگاری بوده اند و وجود هایپرتنشن ریوی یک فاکتور پیشگویی کننده ضروری فارق از </w:t>
      </w:r>
      <w:r w:rsidR="00A3076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نوع </w:t>
      </w:r>
      <w:r w:rsidR="00A30767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A3076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بود . در سال های بعد </w:t>
      </w:r>
      <w:r w:rsidR="00A30767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A3076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طبقه بندی </w:t>
      </w:r>
      <w:r w:rsidR="00A30767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A3076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مرتبط با سیگار گنجانده شد.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</w:p>
    <w:p w14:paraId="4EA80746" w14:textId="77777777" w:rsidR="00951D7A" w:rsidRDefault="00951D7A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45782CD" w14:textId="77777777" w:rsidR="00951D7A" w:rsidRDefault="00951D7A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اپیدمیولوژی:</w:t>
      </w:r>
    </w:p>
    <w:p w14:paraId="62323341" w14:textId="77777777" w:rsidR="00A30B57" w:rsidRDefault="00A30B57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اطلاعات در مورد میزان بروز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دلیل عدم شناخت آن محدود است. به علاوه ، عدم وجود توافق جامع در تعریف آن ، کرایتریاهای تشخیصی متعددی در مطالعات استفاده شده است که مانع تعیین بروز و شیوع آن می شود.</w:t>
      </w:r>
    </w:p>
    <w:p w14:paraId="2A61C240" w14:textId="77777777" w:rsidR="00A30B57" w:rsidRDefault="00A30B57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آنالیز یافته های سی تی اسکن ریه در مطالعات ، تخمین زده شده است که ۴٪ تا ۹٪ از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، تغییرات اینترستیشیال ریوی مطرح کننده فیبروز اولیه یا خفیف دارند.</w:t>
      </w:r>
    </w:p>
    <w:p w14:paraId="73BE12AC" w14:textId="77777777" w:rsidR="00AE74C9" w:rsidRDefault="00AE74C9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مطالعه اخیر </w:t>
      </w:r>
      <w:r w:rsidR="00A30B5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Lee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همکارانش،  حضور تغییرات اینترستیشیال ریوی در ۲۸.۴٪ از ۳۶۳ بیمار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تخمین زده شده است. </w:t>
      </w:r>
    </w:p>
    <w:p w14:paraId="2A5E44F5" w14:textId="77777777" w:rsidR="00466EF8" w:rsidRDefault="00AE74C9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مشاهدات هیستوپاتولوژیک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katzenstein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، فیبروز اینترستیشیال مرتبط با سیگار که به طور شایع در نمونه های به دست آمده از بیماران سیگاری تحت عمل رزکشن تومور ریه قرار میگیرند بدون تشخیص قبلی </w:t>
      </w:r>
      <w:r w:rsidR="00E137FD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E137F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توصیف کرد ، اکثر این بیماران حضور همزمان آمفیزم </w:t>
      </w:r>
      <w:r w:rsidR="00466EF8">
        <w:rPr>
          <w:rFonts w:ascii="Times New Roman" w:hAnsi="Times New Roman" w:cs="Times New Roman" w:hint="cs"/>
          <w:sz w:val="28"/>
          <w:szCs w:val="28"/>
          <w:rtl/>
          <w:lang w:bidi="fa-IR"/>
        </w:rPr>
        <w:t>میکروسکوپیک را نشان می دادن</w:t>
      </w:r>
      <w:r w:rsidR="00E137FD">
        <w:rPr>
          <w:rFonts w:ascii="Times New Roman" w:hAnsi="Times New Roman" w:cs="Times New Roman" w:hint="cs"/>
          <w:sz w:val="28"/>
          <w:szCs w:val="28"/>
          <w:rtl/>
          <w:lang w:bidi="fa-IR"/>
        </w:rPr>
        <w:t>د.</w:t>
      </w:r>
    </w:p>
    <w:p w14:paraId="618BAAD0" w14:textId="12C2A175" w:rsidR="008A58BC" w:rsidRDefault="00466EF8" w:rsidP="008A58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این حال ارتباط واقعی این شواهد هیستوپاتولوپیک با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نامشخص است.آنالیز اطلاعات </w:t>
      </w:r>
      <w:r w:rsidR="00A30B5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مطالعات بر روی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>ILD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شیوع نسبتا بالای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را در این افراد نشلن می دهد. در مطالعه ای در مینسوتا 28% از بیماران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>IPF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طبق علایم بالینی تشخیص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 xml:space="preserve">COPD 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>هم دارند.</w:t>
      </w:r>
    </w:p>
    <w:p w14:paraId="4FB8CB90" w14:textId="5B4DF8B4" w:rsidR="008A58BC" w:rsidRDefault="008A58BC" w:rsidP="008A58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یک مطالعه کره ای نشان داد که از بیماران 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38% و 12% به ترتیب سیگاری و مبتلا به </w:t>
      </w:r>
      <w:r>
        <w:rPr>
          <w:rFonts w:ascii="Times New Roman" w:hAnsi="Times New Roman" w:cs="Times New Roman"/>
          <w:sz w:val="28"/>
          <w:szCs w:val="28"/>
          <w:lang w:bidi="fa-IR"/>
        </w:rPr>
        <w:t>COPD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بودند .</w:t>
      </w:r>
    </w:p>
    <w:p w14:paraId="4CEDD695" w14:textId="69B316D5" w:rsidR="008A58BC" w:rsidRDefault="008A58BC" w:rsidP="008A58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دهه اخیر مطالعات متعددی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افراد با بیماری های بافت همبند گزارش کردند. یک مطالعه مروری سیستماتیک </w:t>
      </w:r>
      <w:r w:rsidR="000D2CE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نشان داد که 30% از بیماران با </w:t>
      </w:r>
      <w:r w:rsidR="000D2CE3">
        <w:rPr>
          <w:rFonts w:ascii="Times New Roman" w:hAnsi="Times New Roman" w:cs="Times New Roman"/>
          <w:sz w:val="28"/>
          <w:szCs w:val="28"/>
          <w:lang w:bidi="fa-IR"/>
        </w:rPr>
        <w:t>ILD</w:t>
      </w:r>
      <w:r w:rsidR="000D2CE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های مرتبط با بیماری بافت همبند مبتلا به </w:t>
      </w:r>
      <w:r w:rsidR="000D2CE3">
        <w:rPr>
          <w:rFonts w:ascii="Times New Roman" w:hAnsi="Times New Roman" w:cs="Times New Roman"/>
          <w:sz w:val="28"/>
          <w:szCs w:val="28"/>
          <w:lang w:bidi="fa-IR"/>
        </w:rPr>
        <w:t xml:space="preserve">CPFE </w:t>
      </w:r>
      <w:r w:rsidR="000D2CE3">
        <w:rPr>
          <w:rFonts w:ascii="Times New Roman" w:hAnsi="Times New Roman" w:cs="Times New Roman" w:hint="cs"/>
          <w:sz w:val="28"/>
          <w:szCs w:val="28"/>
          <w:rtl/>
          <w:lang w:bidi="fa-IR"/>
        </w:rPr>
        <w:t>می باشند.</w:t>
      </w:r>
    </w:p>
    <w:p w14:paraId="167FCB50" w14:textId="15BCED58" w:rsidR="000D2CE3" w:rsidRDefault="000D2CE3" w:rsidP="000D2CE3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یک مطالعه مولتی سنتر فرانسوی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را در بیماران با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ILD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مرتبط با بافت همبند  به طور شایع </w:t>
      </w:r>
      <w:r>
        <w:rPr>
          <w:rFonts w:ascii="Times New Roman" w:hAnsi="Times New Roman" w:cs="Times New Roman"/>
          <w:sz w:val="28"/>
          <w:szCs w:val="28"/>
          <w:lang w:bidi="fa-IR"/>
        </w:rPr>
        <w:t>RA-ILD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بررسی کرد </w:t>
      </w:r>
      <w:r>
        <w:rPr>
          <w:rFonts w:ascii="Times New Roman" w:hAnsi="Times New Roman" w:cs="Times New Roman"/>
          <w:sz w:val="28"/>
          <w:szCs w:val="28"/>
          <w:lang w:bidi="fa-IR"/>
        </w:rPr>
        <w:t>,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بین این بیماران 50 تا 80% سابقه مصرف سیگار و تا48% مبتلا به آمفیزم بودند. </w:t>
      </w:r>
    </w:p>
    <w:p w14:paraId="1B513723" w14:textId="745232CA" w:rsidR="000D2CE3" w:rsidRDefault="000D2CE3" w:rsidP="000D2CE3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علایم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CPFE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در موارد سایر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ها مثل سارکوییدوز و پنوموکونیوز هم گزارش شده است. </w:t>
      </w:r>
    </w:p>
    <w:p w14:paraId="27293E92" w14:textId="66EA8649" w:rsidR="000D2CE3" w:rsidRDefault="000D2CE3" w:rsidP="000D2CE3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اطلاعات ذکر شده  احتمال شیوع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فرم های مختلف فیبروتیک 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را نشان می دهد .</w:t>
      </w:r>
    </w:p>
    <w:p w14:paraId="6B916E10" w14:textId="6408873C" w:rsidR="00122194" w:rsidRDefault="00122194" w:rsidP="00122194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باتوجه به میزان مصرف سیگارو ÷یر شدن جمعیت  تعدا د بیماران با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COPD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فیبروز ریوی درحال افزایش است بنابراین احتمالا تعداد بیماران با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CPFE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هم رو به افزایش خواهد بود. </w:t>
      </w:r>
    </w:p>
    <w:p w14:paraId="5E57A958" w14:textId="77777777" w:rsidR="00122194" w:rsidRDefault="00122194" w:rsidP="00122194">
      <w:pPr>
        <w:bidi/>
        <w:rPr>
          <w:rFonts w:ascii="Times New Roman" w:hAnsi="Times New Roman" w:cs="Times New Roman" w:hint="cs"/>
          <w:sz w:val="28"/>
          <w:szCs w:val="28"/>
          <w:rtl/>
          <w:lang w:bidi="fa-IR"/>
        </w:rPr>
      </w:pPr>
    </w:p>
    <w:p w14:paraId="19E76F68" w14:textId="77777777" w:rsidR="0098501F" w:rsidRDefault="0098501F" w:rsidP="0098501F">
      <w:pPr>
        <w:bidi/>
        <w:rPr>
          <w:rFonts w:ascii="Times New Roman" w:hAnsi="Times New Roman" w:cs="Times New Roman" w:hint="cs"/>
          <w:sz w:val="28"/>
          <w:szCs w:val="28"/>
          <w:rtl/>
          <w:lang w:bidi="fa-IR"/>
        </w:rPr>
      </w:pPr>
    </w:p>
    <w:p w14:paraId="5EA9A10D" w14:textId="77777777" w:rsidR="0098501F" w:rsidRDefault="0098501F" w:rsidP="0098501F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89D84EE" w14:textId="77777777" w:rsidR="001A2712" w:rsidRDefault="001A2712" w:rsidP="001A271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638E2B6" w14:textId="595AF6D0" w:rsidR="00122194" w:rsidRDefault="001A2712" w:rsidP="00122194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 xml:space="preserve">پاتوژنز : </w:t>
      </w:r>
    </w:p>
    <w:p w14:paraId="72CA6393" w14:textId="1FAA022A" w:rsidR="001A2712" w:rsidRDefault="001A2712" w:rsidP="00522240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آمفیزم و بخش قابل توجهی از موارد 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فیبروتیک قویا با مصرف سیگار و جنس مرد و سن بالا ارتباط دارند. مصرف سیگار</w:t>
      </w:r>
      <w:r w:rsidR="0052224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از طریق مسیرهای متفاوت می تواند منجر به آمفیزم و فیبروز شود. 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التهاب </w:t>
      </w:r>
      <w:r w:rsidR="0052224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مزمن راه های هوایی  باعث ضخیم شدن دیواره راه های هوایی و کاهش تعداد راه های هوایی کوچک می شوند .  این التهاب به همراه عدم تعادل پروتئاز- انتی پروتئاز و استرس اکسیداتیو و افزایش آپوپتوز و تخریب دیواره آلوئول ها و در مقابل پروسه ترمیم منجر به التهاب و فیبروز پارانشیم می شود. بنابراین در بعضی بیماران </w:t>
      </w:r>
      <w:r w:rsidR="00522240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52224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تماس با دود سیگار می تواند منجر به ایجاد بیماری شود . در سایر بیماران فیبروز اضافه شده ممکن است مرتبط با پروسه یک بیماری جداگانه مانند بیماری بافت همبند باشد. </w:t>
      </w:r>
    </w:p>
    <w:p w14:paraId="5821C924" w14:textId="608207EC" w:rsidR="00522240" w:rsidRDefault="00522240" w:rsidP="00522240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مطالعات متعدد ی نقش فاکتورهای ژنتیکی مانند موتاسیون در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peptidase D , </w:t>
      </w:r>
      <w:r w:rsidR="001E23F2">
        <w:rPr>
          <w:rFonts w:ascii="Times New Roman" w:hAnsi="Times New Roman" w:cs="Times New Roman"/>
          <w:sz w:val="28"/>
          <w:szCs w:val="28"/>
          <w:lang w:bidi="fa-IR"/>
        </w:rPr>
        <w:t xml:space="preserve">telomerase reverse transcriptase(TERT), surfactant protein c (SFTPC), adenosine triphosphate binding cassette subfamily A member3(ABCA3) </w:t>
      </w:r>
      <w:r w:rsidR="001E23F2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ایجاد </w:t>
      </w:r>
      <w:r w:rsidR="001E23F2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1E23F2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نشان داده اند. </w:t>
      </w:r>
    </w:p>
    <w:p w14:paraId="7776D77A" w14:textId="2ADB4632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کنار هم گذاشتن شواهد به نظر می آید هم مکانیسم های ژنتیکی و هم فاکتورهای محیطی در ایجاد این بیماری نقش دارند. </w:t>
      </w:r>
    </w:p>
    <w:p w14:paraId="11E73762" w14:textId="77777777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920BB37" w14:textId="77777777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7BAF8A9" w14:textId="7267C46B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علایم بالینی:</w:t>
      </w:r>
    </w:p>
    <w:p w14:paraId="6E445D7A" w14:textId="69046599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بیماران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CPFE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معمولا آقایان 60 تا 80 سال با سابقه مصرف سیگار با شکایت تنگی نفس فعالیتی پیشرونده </w:t>
      </w:r>
      <w:r w:rsidR="0010071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معمولا همراه با سرفه مزمن هستند. افت سطح اکسیژن با فعالیت فیزیکی به طور شایع وجود دارد و قابل انتساب به </w:t>
      </w:r>
      <w:r w:rsidR="00100719">
        <w:rPr>
          <w:rFonts w:ascii="Times New Roman" w:hAnsi="Times New Roman" w:cs="Times New Roman"/>
          <w:sz w:val="28"/>
          <w:szCs w:val="28"/>
          <w:lang w:bidi="fa-IR"/>
        </w:rPr>
        <w:t xml:space="preserve">DLCO </w:t>
      </w:r>
      <w:r w:rsidR="0010071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پایین به دلیل حضور همزمان فیبروز و آمفیزم است. </w:t>
      </w:r>
    </w:p>
    <w:p w14:paraId="62942961" w14:textId="3AC95B4D" w:rsidR="00100719" w:rsidRDefault="00100719" w:rsidP="00100719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سمع ریه معمولا </w:t>
      </w:r>
      <w:r>
        <w:rPr>
          <w:rFonts w:ascii="Times New Roman" w:hAnsi="Times New Roman" w:cs="Times New Roman"/>
          <w:sz w:val="28"/>
          <w:szCs w:val="28"/>
          <w:lang w:bidi="fa-IR"/>
        </w:rPr>
        <w:t>fine crackle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دمی در قواعد ریه دو طرف شنیده میشود. کاهش صدا در قسمت های فوقانی ریه  و کلابینگ انگشتان هم ممکن است وجود داشته باش</w:t>
      </w:r>
      <w:bookmarkStart w:id="0" w:name="_GoBack"/>
      <w:bookmarkEnd w:id="0"/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د. </w:t>
      </w:r>
    </w:p>
    <w:p w14:paraId="63BB0A26" w14:textId="1E3BAF8D" w:rsidR="001A2712" w:rsidRPr="00100719" w:rsidRDefault="001A2712" w:rsidP="001A2712">
      <w:pPr>
        <w:rPr>
          <w:rtl/>
        </w:rPr>
      </w:pPr>
    </w:p>
    <w:p w14:paraId="49D031F4" w14:textId="0BDE2195" w:rsidR="001A2712" w:rsidRPr="001A2712" w:rsidRDefault="001A2712" w:rsidP="001A2712">
      <w:pPr>
        <w:rPr>
          <w:rtl/>
        </w:rPr>
      </w:pPr>
    </w:p>
    <w:p w14:paraId="43C58C7B" w14:textId="77777777" w:rsidR="00100719" w:rsidRDefault="00100719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تست عملکردی ریه:</w:t>
      </w:r>
    </w:p>
    <w:p w14:paraId="7D52143E" w14:textId="77777777" w:rsidR="00100719" w:rsidRDefault="00100719" w:rsidP="00100719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یک مطالعه بر روی 179 مورد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35% کاهش </w:t>
      </w:r>
      <w:r>
        <w:rPr>
          <w:rFonts w:ascii="Times New Roman" w:hAnsi="Times New Roman" w:cs="Times New Roman"/>
          <w:sz w:val="28"/>
          <w:szCs w:val="28"/>
          <w:lang w:bidi="fa-IR"/>
        </w:rPr>
        <w:t>DLCO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 اسپیرومتری نرمال و 34% و 25% به ترتیب الگوی تحدیدی و انسدادی نشان دادندو 6% هم الگوی غیراختصاصی داشتند. </w:t>
      </w:r>
    </w:p>
    <w:p w14:paraId="614DE864" w14:textId="6181CBF4" w:rsidR="002F2A98" w:rsidRDefault="00100719" w:rsidP="00100719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 xml:space="preserve">Composite physiological index 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که با استفاده از </w:t>
      </w:r>
      <w:r w:rsidR="003D53BC">
        <w:rPr>
          <w:rFonts w:ascii="Times New Roman" w:hAnsi="Times New Roman" w:cs="Times New Roman"/>
          <w:sz w:val="28"/>
          <w:szCs w:val="28"/>
          <w:lang w:bidi="fa-IR"/>
        </w:rPr>
        <w:t xml:space="preserve">vital </w:t>
      </w:r>
      <w:proofErr w:type="gramStart"/>
      <w:r w:rsidR="003D53BC">
        <w:rPr>
          <w:rFonts w:ascii="Times New Roman" w:hAnsi="Times New Roman" w:cs="Times New Roman"/>
          <w:sz w:val="28"/>
          <w:szCs w:val="28"/>
          <w:lang w:bidi="fa-IR"/>
        </w:rPr>
        <w:t>capacity ,</w:t>
      </w:r>
      <w:proofErr w:type="gramEnd"/>
      <w:r w:rsidR="003D53BC">
        <w:rPr>
          <w:rFonts w:ascii="Times New Roman" w:hAnsi="Times New Roman" w:cs="Times New Roman"/>
          <w:sz w:val="28"/>
          <w:szCs w:val="28"/>
          <w:lang w:bidi="fa-IR"/>
        </w:rPr>
        <w:t xml:space="preserve"> DLCO , FEV1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برای آمفیزم همزمان برای مرحله بندی بیماران </w:t>
      </w:r>
      <w:r w:rsidR="003D53BC">
        <w:rPr>
          <w:rFonts w:ascii="Times New Roman" w:hAnsi="Times New Roman" w:cs="Times New Roman"/>
          <w:sz w:val="28"/>
          <w:szCs w:val="28"/>
          <w:lang w:bidi="fa-IR"/>
        </w:rPr>
        <w:t>IPF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محاسبه می شود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عنوان یکی از بهترین شاخص های پیشگویی کننده برای 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های فیبروتیک گزارش شده </w:t>
      </w:r>
      <w:r w:rsidR="002F2A9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این حال یک مطالعه گذشته نگر شامل بیماران </w:t>
      </w:r>
      <w:r w:rsidR="003D53BC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نتوانسته این شاخص را به عنوان یک شاخص پیشگویی کننده در این بیماران تایید کند. </w:t>
      </w:r>
    </w:p>
    <w:p w14:paraId="4B7A376A" w14:textId="77777777" w:rsidR="003D53BC" w:rsidRDefault="003D53BC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2AACCD4D" w14:textId="77777777" w:rsidR="003D53BC" w:rsidRDefault="003D53BC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424CDD1D" w14:textId="38D706F9" w:rsidR="003D53BC" w:rsidRDefault="003D53BC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تصویربرداری:</w:t>
      </w:r>
    </w:p>
    <w:p w14:paraId="2C3360EA" w14:textId="0613B654" w:rsidR="003D53BC" w:rsidRDefault="002A2122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تشخیص تغییرات در مراحل اولیه در رادیوگرافی قفسه سینه سخت است.  پرهوایی مرتبط با آمفیزم با کاهش حجم ریه در فیبروز ریه در گرافی  خنثی می شود. </w:t>
      </w:r>
    </w:p>
    <w:p w14:paraId="5B23C399" w14:textId="30379D02" w:rsidR="002A2122" w:rsidRDefault="002A2122" w:rsidP="002A212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سی تی اسکن ریه در بیماران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ممکن است دو نوع آمفیزم پاراسپتال و سنتری لوبولار در لوب فوقانی  را نشان دهد و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ILD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فیبروتیک در سی تی اسکن ریه به صورت رتیکولیشن و ترکشن برونشکتازی و کدورت های گراندگلاس و لانه زنبوری دیده می شود. </w:t>
      </w:r>
    </w:p>
    <w:p w14:paraId="50824255" w14:textId="1486F480" w:rsidR="002A2122" w:rsidRDefault="002A2122" w:rsidP="00BC702A">
      <w:pPr>
        <w:bidi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 xml:space="preserve">باتوجه به اهمیت </w:t>
      </w:r>
      <w:r>
        <w:rPr>
          <w:rFonts w:ascii="Times New Roman" w:hAnsi="Times New Roman" w:cs="Times New Roman"/>
          <w:sz w:val="28"/>
          <w:szCs w:val="28"/>
          <w:lang w:bidi="fa-IR"/>
        </w:rPr>
        <w:t>HRCT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ارزیابی بیماران با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مانند بقیه بیمارهای پارانشیمی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American college of radiology </w:t>
      </w:r>
      <w:r w:rsidR="00BC702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استفاده از سی تی اسکن </w:t>
      </w:r>
      <w:r w:rsidR="00BC702A">
        <w:rPr>
          <w:rFonts w:ascii="Times New Roman" w:hAnsi="Times New Roman" w:cs="Times New Roman"/>
          <w:sz w:val="28"/>
          <w:szCs w:val="28"/>
          <w:lang w:bidi="fa-IR"/>
        </w:rPr>
        <w:t xml:space="preserve">helical </w:t>
      </w:r>
      <w:r w:rsidR="00BC702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</w:t>
      </w:r>
      <w:r w:rsidR="00BC702A">
        <w:rPr>
          <w:rFonts w:ascii="Times New Roman" w:hAnsi="Times New Roman" w:cs="Times New Roman"/>
          <w:sz w:val="28"/>
          <w:szCs w:val="28"/>
          <w:lang w:bidi="fa-IR"/>
        </w:rPr>
        <w:t xml:space="preserve">axial </w:t>
      </w:r>
      <w:r w:rsidR="00BC702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 تصاویر بازسازی شده را توصیه می کند.</w:t>
      </w:r>
      <w:r w:rsidR="00BC702A">
        <w:rPr>
          <w:rFonts w:ascii="Times New Roman" w:hAnsi="Times New Roman" w:cs="Times New Roman"/>
          <w:sz w:val="28"/>
          <w:szCs w:val="28"/>
          <w:lang w:bidi="fa-IR"/>
        </w:rPr>
        <w:t xml:space="preserve">  </w:t>
      </w:r>
    </w:p>
    <w:p w14:paraId="2B7D23C0" w14:textId="77777777" w:rsidR="003D53BC" w:rsidRDefault="003D53BC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73FA2A75" w14:textId="77777777" w:rsidR="004A5062" w:rsidRDefault="004A5062" w:rsidP="0059418C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4F1C1986" w14:textId="77777777" w:rsidR="00551B8C" w:rsidRDefault="00551B8C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04D1C93" w14:textId="77777777" w:rsidR="004A5062" w:rsidRDefault="004A5062" w:rsidP="0059418C">
      <w:pPr>
        <w:jc w:val="right"/>
        <w:rPr>
          <w:rFonts w:ascii="Times New Roman" w:hAnsi="Times New Roman" w:cs="Times New Roman"/>
          <w:b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sz w:val="28"/>
          <w:szCs w:val="28"/>
          <w:rtl/>
          <w:lang w:bidi="fa-IR"/>
        </w:rPr>
        <w:t>تشخیص:</w:t>
      </w:r>
    </w:p>
    <w:p w14:paraId="0F2F7AFF" w14:textId="1C5A989F" w:rsidR="004A5062" w:rsidRDefault="004A5062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این بیماران شدت تنگی نفس و محدودیت های عملکردی ممکن است نامتناسب با شدت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باشد.</w:t>
      </w:r>
    </w:p>
    <w:p w14:paraId="637C2E15" w14:textId="77777777" w:rsidR="00060859" w:rsidRDefault="004A5062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اسپیرومتری و حجم های ریوی در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ممکن است نرمال یا نزدیک به نرمال باشند .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باتوجه به این که</w:t>
      </w:r>
      <w:r w:rsidR="00060859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COPD 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</w:t>
      </w:r>
      <w:r w:rsidR="00060859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هر دو باعث  کاهش نواحی</w:t>
      </w:r>
      <w:r w:rsidR="00060859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alveolar capillary membrane 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تبادل گاز می شود منجر به کاهش شدید </w:t>
      </w:r>
      <w:r w:rsidR="00060859">
        <w:rPr>
          <w:rFonts w:ascii="Times New Roman" w:hAnsi="Times New Roman" w:cs="Times New Roman"/>
          <w:sz w:val="28"/>
          <w:szCs w:val="28"/>
          <w:rtl/>
          <w:lang w:bidi="fa-IR"/>
        </w:rPr>
        <w:t>DLCO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>می شود.</w:t>
      </w:r>
    </w:p>
    <w:p w14:paraId="08F55614" w14:textId="77777777" w:rsidR="00060859" w:rsidRDefault="00060859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افت اکسیژن با فعالیت یا اکسیژن پایین در حالت استراحت نامتناسب با مقیاس های اسپیرومتری می تواند مطرح کننده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باشد.</w:t>
      </w:r>
    </w:p>
    <w:p w14:paraId="13E708E3" w14:textId="2A166B79" w:rsidR="00E153F1" w:rsidRDefault="00E153F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تشخیص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حضور همزمان آمفیزم غالبا در نواحی فوقانی و فیبروز پارانشیم غالبا در نواحی تحتانی ریه در </w:t>
      </w:r>
      <w:r w:rsidR="004E57BD">
        <w:rPr>
          <w:rFonts w:ascii="Times New Roman" w:hAnsi="Times New Roman" w:cs="Times New Roman"/>
          <w:sz w:val="28"/>
          <w:szCs w:val="28"/>
          <w:rtl/>
          <w:lang w:bidi="fa-IR"/>
        </w:rPr>
        <w:t>HRCT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خوبی قابل تشخیص است. اگرچه کرایتریای تشخیصی در مطالعات منتشر شده تا به امروز متعدد بوده اند.تعریف کمیته جهانی برای </w:t>
      </w:r>
      <w:r w:rsidR="004E57BD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سال ۲۰۲۲ شامل:۱)آمفیزم بیشتر یا مساوی ۵٪ ازکل ریه  ۲)  فیبروز ریه از هر نوع و هر مقداری</w:t>
      </w:r>
    </w:p>
    <w:p w14:paraId="45F02DB6" w14:textId="3925B7F5" w:rsidR="004E57BD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بررسی و آزمایش اعتبار این تعریف اهمیت دارد.</w:t>
      </w:r>
    </w:p>
    <w:p w14:paraId="40C73DE3" w14:textId="1BE8C468" w:rsidR="004E57BD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777C5FF" w14:textId="77777777" w:rsidR="00E153F1" w:rsidRDefault="00E153F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DBC91A7" w14:textId="13639BE4" w:rsidR="00E153F1" w:rsidRDefault="00E153F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sz w:val="28"/>
          <w:szCs w:val="28"/>
          <w:rtl/>
          <w:lang w:bidi="fa-IR"/>
        </w:rPr>
        <w:t>پیش آگهی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عوارض:</w:t>
      </w:r>
    </w:p>
    <w:p w14:paraId="6F60334C" w14:textId="4FA3CEAE" w:rsidR="004E57BD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متوسط بقای مرتبط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مطالعات مختلف از ۰.۹ تا ۸.۵ سال گزارش شده است. </w:t>
      </w:r>
    </w:p>
    <w:p w14:paraId="2D9BDE16" w14:textId="6510629D" w:rsidR="004E57BD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سیر بالینی تحت تاثیر ماهیت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زمینه ای و عوارض ایجاد شده است. </w:t>
      </w:r>
    </w:p>
    <w:p w14:paraId="0EDF449D" w14:textId="1A1A4BF6" w:rsidR="008B2D4F" w:rsidRDefault="00E153F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این بیماران معمولا به سمت نارسایی تنفسی مزمن پیشرفت می کنند.  سیر بالینی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می تواند با حملات حاد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copd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یا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، هایپرتنش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>ن ریوی (گروه۳) و کنسر ریه ، عارضه دار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شود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</w:p>
    <w:p w14:paraId="5724C75F" w14:textId="6FE1BA1F" w:rsidR="00E16810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پیش آگهی در این بیماران با شدت بیماری 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DLCO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پیشروی بیماری در سی تی اسکن و ایجاد عوارض مشخص می شود. </w:t>
      </w:r>
      <w:r w:rsidR="008B2D4F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</w:p>
    <w:p w14:paraId="07FA4919" w14:textId="10C9E262" w:rsidR="00E16810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بروز کنسر ریه در بیماران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چند برابر بیشتر از بیماران با </w:t>
      </w:r>
      <w:r w:rsidR="00645AF8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COPD 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یا </w:t>
      </w:r>
      <w:r w:rsidR="00645AF8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IPF 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تنهایی می باشد. به علاوه ۱۹٪ سرطان های ریه در بیماران </w:t>
      </w:r>
      <w:r w:rsidR="00645AF8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از نوع </w:t>
      </w:r>
      <w:r w:rsidR="00645AF8">
        <w:rPr>
          <w:rFonts w:ascii="Times New Roman" w:hAnsi="Times New Roman" w:cs="Times New Roman"/>
          <w:sz w:val="28"/>
          <w:szCs w:val="28"/>
          <w:rtl/>
          <w:lang w:bidi="fa-IR"/>
        </w:rPr>
        <w:t>small cell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تهاجمی ترین بدخیمی ریه بوده است. نواحی درگیر بدخیمی متمایل به نواحی مشابه فیبروز می باشد (۵۰-۶۰٪ نواحی تحتانی و ۶۰٪ نواحی ساب پلورال).</w:t>
      </w:r>
    </w:p>
    <w:p w14:paraId="666D790D" w14:textId="3179A797" w:rsidR="00645AF8" w:rsidRDefault="00645AF8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مطالعه ای مورتالیتی مرتبط با کنسر ریه در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 سه برابر بالاتر در مقایسه با کانسر ریه در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گزارش کرده است.</w:t>
      </w:r>
    </w:p>
    <w:p w14:paraId="231F1E21" w14:textId="76B7BABF" w:rsidR="00645AF8" w:rsidRDefault="00645AF8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علاوه بر این درمان کنسر ریه در این بیماران می تواند منجر به حملات حاد شود و حتی مرگ شود.</w:t>
      </w:r>
    </w:p>
    <w:p w14:paraId="01843BA2" w14:textId="2A19D6E4" w:rsidR="00645AF8" w:rsidRDefault="00645AF8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حملات حاد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(acute exacerbation) 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منبع قابل توجهی از موربیدیتی و مورتالیتی در بیماران با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می باشد که میتواند مرتبط با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یا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باشد .  در یک مطالعه گذشته نگر روی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ایجاد شده در بیماران با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>، به نظر می رسد حملات حاد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این بیماران به میزان کمتر در مقایسه با بیماران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تنهایی اتفاق می افتد، در حالی که حملات حاد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میزان مشابه با حملات حاد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FD78E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اتفاق می افتد. </w:t>
      </w:r>
    </w:p>
    <w:p w14:paraId="3C55A4B2" w14:textId="15E56185" w:rsidR="00FD78EC" w:rsidRDefault="00FD78EC" w:rsidP="0059418C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 xml:space="preserve">همان طور که اشاره شد پولمونری هایپرتنشن در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ایجاد شده و حاکی از پیش آگهی بد است. تا نیمی از بیماران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دچارهایپرتنشن پولمونر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precapillary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می شوند.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</w:p>
    <w:p w14:paraId="4E0BEE16" w14:textId="77777777" w:rsidR="00FD3966" w:rsidRDefault="00FD3966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543F5D95" w14:textId="104B92F8" w:rsidR="00E153F1" w:rsidRDefault="00E16810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درمان :</w:t>
      </w:r>
    </w:p>
    <w:p w14:paraId="5D38266F" w14:textId="77777777" w:rsidR="00B07DE7" w:rsidRDefault="00B07DE7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قدم اساسی برای کاهش پیشرفت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، ترک سیگار در سیگاری ها است. اگرچه اطلاعات مستقیمی به صورت اختصاصی برای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وجود ندارد، بازتوانی ریه ممکن است تنگی نفس فعالیتی و کیفیت زندگی را بهبود بخشد. اکسیژن کمکی برای افراد با هایپوکسی فعالیتی یا در استراحت اندیکاسیون دارد.</w:t>
      </w:r>
    </w:p>
    <w:p w14:paraId="4A392496" w14:textId="253BF052" w:rsidR="00B07DE7" w:rsidRDefault="00B07DE7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واکسیناسیون مناسب شامل پنوموکوک ، آنفولانزا و کووید باید انجام شود.باید با بیمار و خانواده  در مورد اهداف مراقبتی صحبت شود.</w:t>
      </w:r>
    </w:p>
    <w:p w14:paraId="077F4EC3" w14:textId="5A92A76E" w:rsidR="00B07DE7" w:rsidRDefault="00B07DE7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هیچ کارآزمایی بالینی در مورد درمان دارویی در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وجود ندارد. با توجه به ناهمگونی در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زمینه ای و تقابل با جز آمفیزماتو ، تصمیمات برای درمان مناسب میتواند دشوار باشد و تصمیم گیری بر اساس هر فرد انجام شود.</w:t>
      </w:r>
    </w:p>
    <w:p w14:paraId="4556B4B7" w14:textId="77777777" w:rsidR="00E17831" w:rsidRDefault="00B07DE7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درمان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زمینه ای بسته به ماهیت آن ، التهابی (مانند سارکوییدوز) یا فیبروتیک(مانند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IPF)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 داروهای ضدالتهابی یا ضد فیبروز انجام می شود.</w:t>
      </w:r>
    </w:p>
    <w:p w14:paraId="16CCD18D" w14:textId="2A5FB569" w:rsidR="00B07DE7" w:rsidRDefault="00E1783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اگرچه داروهای انتی فیبروتیک مانند نینتدانیب یا پرفنیدون به طور اختصاصی بر روی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مطالعه نشده اند، </w:t>
      </w:r>
      <w:r w:rsidR="00B07DE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برای بیماران با </w:t>
      </w:r>
      <w:r w:rsidR="00B07DE7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B07DE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که فیبروز پیشرونده دارند، ممکن است در نظر گرفتن استفاده از داروهای انتی فیبروتیک مانند نینتدانیب مناسب باشد ک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 در مطالعات اخیر نشان داده شده که پیشرفت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ILD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را کند کرده است. </w:t>
      </w:r>
      <w:r w:rsidR="00B07DE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</w:p>
    <w:p w14:paraId="6EC1606F" w14:textId="08CFFD37" w:rsidR="00E16810" w:rsidRDefault="00E16810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توجه به این که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معمولا در اسپیرومتری انسداد جریان هوا ندارند ، سودمندی برونکودیلاتورها و کورتیکواستروییدهای استن</w:t>
      </w:r>
      <w:r w:rsidR="00E1783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شاقی در این بیماران نامشخص است و درمان </w:t>
      </w:r>
    </w:p>
    <w:p w14:paraId="29930914" w14:textId="2E31DC42" w:rsidR="00E17831" w:rsidRDefault="00E1783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برونکودیلاتورها فقط برای بیماران با انسداد برگشت پذیر راه های هوایی می تواند مناسب باشد. </w:t>
      </w:r>
    </w:p>
    <w:p w14:paraId="49DB8912" w14:textId="380D6514" w:rsidR="00E17831" w:rsidRDefault="00E1783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همین صورت ، سودمندی استفاده از کورتیکواسترویید سیستمیک در مدیریت حملات حاد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مشخص نمیباشد. </w:t>
      </w:r>
    </w:p>
    <w:p w14:paraId="56AC83ED" w14:textId="3BE078B9" w:rsidR="001915E5" w:rsidRDefault="00E16810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اگرچه بیوپسی ریه برای مشخص کردن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زمینه ای در بعضی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ممکن است کمک کننده باشد ، ریسک های مرتبط با پروسیجر مانند حملات حاد یا وابستگی به ونتیلاتور باید در نظر گرفته شود.</w:t>
      </w:r>
    </w:p>
    <w:p w14:paraId="0E4BBBB9" w14:textId="069CB84A" w:rsidR="00E16810" w:rsidRDefault="00E16810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2449A205" w14:textId="5496EC66" w:rsidR="00E16810" w:rsidRDefault="00E16810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درمان ایمونوساپرسیو شامل گلوکوکورتیکوییدها برای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ILD </w:t>
      </w:r>
      <w:r w:rsidR="00C2152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های التهابی(مرتبط با بافت همبند و </w:t>
      </w:r>
      <w:r w:rsidR="00C21528">
        <w:rPr>
          <w:rFonts w:ascii="Times New Roman" w:hAnsi="Times New Roman" w:cs="Times New Roman"/>
          <w:sz w:val="28"/>
          <w:szCs w:val="28"/>
          <w:rtl/>
          <w:lang w:bidi="fa-IR"/>
        </w:rPr>
        <w:t>HP)</w:t>
      </w:r>
      <w:r w:rsidR="00C2152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ترجیح داده می شود.</w:t>
      </w:r>
    </w:p>
    <w:p w14:paraId="74EB7160" w14:textId="4765D83B" w:rsidR="00E17831" w:rsidRDefault="00E17831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اخیرا یک مطالعه بهبود ظرفیت فعالیتی (ارزیابی با تست مسافت ۶ دقیقه ای) با </w:t>
      </w:r>
      <w:r w:rsidR="00CF1BAA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treprostinil </w:t>
      </w:r>
      <w:r w:rsidR="00CF1BA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استنشاقی آنالوگ پروستاسایکلین که منجر به وازودیلاتاسیون می شود ، در بیماران هایپرتنشن پولمونری مرتبط با </w:t>
      </w:r>
      <w:r w:rsidR="00CF1BAA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CF1BA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گزارش کرده است.  اگرچه بهبود قابل توجهی در کیفیت زندگی بیماران در مقایسه با گروه پلاسبو وجود نداشت. </w:t>
      </w:r>
    </w:p>
    <w:p w14:paraId="1031C52D" w14:textId="457E5F34" w:rsidR="00CF1BAA" w:rsidRDefault="00CF1BAA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پیوند ریه ممکن است به عنوان یک گزینه در بیماران کمتر از ۷۰ سال بدون کنترا اندیکاسیون خارج ریوی در نظر گرفته شود. </w:t>
      </w:r>
    </w:p>
    <w:p w14:paraId="4F79CCDD" w14:textId="56A4004C" w:rsidR="00C21528" w:rsidRDefault="00C21528" w:rsidP="00CF1BAA">
      <w:pPr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باتوجه به مزایای محدود و سمیت بالقوه مرتبط با درمان های موجود یک رویکرد بیمار محور با در نظر گرفتن اولویت های هر فرد</w:t>
      </w:r>
      <w:r w:rsidR="00CF1BA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فرآیند تصمیم گیری ضروری است.                                                 </w:t>
      </w:r>
    </w:p>
    <w:p w14:paraId="53856010" w14:textId="77777777" w:rsidR="00315D4B" w:rsidRDefault="00C21528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CPFE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مشابه  سایر بیماری های ریوی مزمن باید از نظر بیماری های همراه مانند نارسایی قلبی ، رفلاکس معده ، آپنه انسدادی خواب ، افسردگی ، استوپنی و استوپروز ارزیابی و درمان شوند. </w:t>
      </w:r>
    </w:p>
    <w:p w14:paraId="48FAE427" w14:textId="77777777" w:rsidR="00FD3966" w:rsidRDefault="00FD3966" w:rsidP="00E93192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74A0434B" w14:textId="0C9C1589" w:rsidR="00E93192" w:rsidRDefault="00AB3FEE" w:rsidP="00747AB2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lastRenderedPageBreak/>
        <w:t>JAMA, July 5, 2022, volume328, number1</w:t>
      </w:r>
      <w:r w:rsidR="00747AB2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</w:p>
    <w:p w14:paraId="63D6088D" w14:textId="32348BD8" w:rsidR="00AB3FEE" w:rsidRDefault="00AB3FEE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Mayo clinic </w:t>
      </w:r>
      <w:proofErr w:type="gramStart"/>
      <w:r>
        <w:rPr>
          <w:rFonts w:ascii="Times New Roman" w:hAnsi="Times New Roman" w:cs="Times New Roman"/>
          <w:sz w:val="24"/>
          <w:szCs w:val="24"/>
          <w:lang w:bidi="fa-IR"/>
        </w:rPr>
        <w:t>Proceedings ,</w:t>
      </w:r>
      <w:proofErr w:type="gramEnd"/>
      <w:r>
        <w:rPr>
          <w:rFonts w:ascii="Times New Roman" w:hAnsi="Times New Roman" w:cs="Times New Roman"/>
          <w:sz w:val="24"/>
          <w:szCs w:val="24"/>
          <w:lang w:bidi="fa-IR"/>
        </w:rPr>
        <w:t xml:space="preserve"> volume98,issue11,p1685-1696,November2023</w:t>
      </w:r>
    </w:p>
    <w:p w14:paraId="5B5276A3" w14:textId="77777777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5EC46659" w14:textId="77777777" w:rsidR="00551B8C" w:rsidRDefault="00551B8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2F974750" w14:textId="77777777" w:rsidR="00551B8C" w:rsidRDefault="00551B8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59979FE1" w14:textId="77777777" w:rsidR="00551B8C" w:rsidRDefault="00551B8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28DD5015" w14:textId="77777777" w:rsidR="00551B8C" w:rsidRDefault="00551B8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059E41FB" w14:textId="77777777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2355E9D7" w14:textId="2AD1D325" w:rsidR="00EC209C" w:rsidRPr="00187D0C" w:rsidRDefault="00EC209C" w:rsidP="00747AB2">
      <w:pPr>
        <w:rPr>
          <w:rFonts w:ascii="Times New Roman" w:hAnsi="Times New Roman" w:cs="Times New Roman"/>
          <w:b/>
          <w:sz w:val="24"/>
          <w:szCs w:val="24"/>
          <w:lang w:bidi="fa-IR"/>
        </w:rPr>
      </w:pPr>
      <w:r w:rsidRPr="00187D0C">
        <w:rPr>
          <w:rFonts w:ascii="Times New Roman" w:hAnsi="Times New Roman" w:cs="Times New Roman"/>
          <w:b/>
          <w:sz w:val="24"/>
          <w:szCs w:val="24"/>
          <w:lang w:bidi="fa-IR"/>
        </w:rPr>
        <w:t>Affiliations:</w:t>
      </w:r>
    </w:p>
    <w:p w14:paraId="31F8A4AA" w14:textId="544E4153" w:rsidR="00EC209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Masahiro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Nemoto</w:t>
      </w:r>
      <w:proofErr w:type="spellEnd"/>
      <w:r w:rsidR="00EC209C">
        <w:rPr>
          <w:rFonts w:ascii="Times New Roman" w:hAnsi="Times New Roman" w:cs="Times New Roman"/>
          <w:sz w:val="24"/>
          <w:szCs w:val="24"/>
          <w:lang w:bidi="fa-IR"/>
        </w:rPr>
        <w:t xml:space="preserve">: Department of </w:t>
      </w:r>
      <w:proofErr w:type="gramStart"/>
      <w:r w:rsidR="00EC209C">
        <w:rPr>
          <w:rFonts w:ascii="Times New Roman" w:hAnsi="Times New Roman" w:cs="Times New Roman"/>
          <w:sz w:val="24"/>
          <w:szCs w:val="24"/>
          <w:lang w:bidi="fa-IR"/>
        </w:rPr>
        <w:t>Immunology ,</w:t>
      </w:r>
      <w:proofErr w:type="gramEnd"/>
      <w:r w:rsidR="00EC209C">
        <w:rPr>
          <w:rFonts w:ascii="Times New Roman" w:hAnsi="Times New Roman" w:cs="Times New Roman"/>
          <w:sz w:val="24"/>
          <w:szCs w:val="24"/>
          <w:lang w:bidi="fa-IR"/>
        </w:rPr>
        <w:t xml:space="preserve"> graduate School of Medicine, Chiba university, Chiba , Japan </w:t>
      </w:r>
    </w:p>
    <w:p w14:paraId="33EFC23C" w14:textId="02366A1A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                                Department of Rheumatology,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Teikyo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 xml:space="preserve"> University, Chiba Medical center,</w:t>
      </w:r>
    </w:p>
    <w:p w14:paraId="079674D8" w14:textId="35ACB5AE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                                Ichihara, Japan</w:t>
      </w:r>
    </w:p>
    <w:p w14:paraId="1BA21FDA" w14:textId="3DC292A0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Chi Wan Koo: Department of Radiology, Mayo Clinic, Rochester, MN</w:t>
      </w:r>
      <w:proofErr w:type="gramStart"/>
      <w:r>
        <w:rPr>
          <w:rFonts w:ascii="Times New Roman" w:hAnsi="Times New Roman" w:cs="Times New Roman"/>
          <w:sz w:val="24"/>
          <w:szCs w:val="24"/>
          <w:lang w:bidi="fa-IR"/>
        </w:rPr>
        <w:t>,USA</w:t>
      </w:r>
      <w:proofErr w:type="gramEnd"/>
    </w:p>
    <w:p w14:paraId="072D90FB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7C911FB7" w14:textId="5A806522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Paul D. Scanlon: Division of Pulmonary and Clinical Care Medicine, Mayo Clinic, Rochester,</w:t>
      </w:r>
      <w:r w:rsidR="00187D0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MN,</w:t>
      </w:r>
      <w:r w:rsidR="00187D0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USA</w:t>
      </w:r>
    </w:p>
    <w:p w14:paraId="7A1FB0C4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08517C41" w14:textId="4EC5C1E5" w:rsidR="00EC209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Jay H.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Ryu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 xml:space="preserve">: Division of Pulmonary and Critical Care Medicine, Mayo Clinic, </w:t>
      </w:r>
      <w:proofErr w:type="gramStart"/>
      <w:r>
        <w:rPr>
          <w:rFonts w:ascii="Times New Roman" w:hAnsi="Times New Roman" w:cs="Times New Roman"/>
          <w:sz w:val="24"/>
          <w:szCs w:val="24"/>
          <w:lang w:bidi="fa-IR"/>
        </w:rPr>
        <w:t>Rochester ,</w:t>
      </w:r>
      <w:proofErr w:type="gramEnd"/>
      <w:r>
        <w:rPr>
          <w:rFonts w:ascii="Times New Roman" w:hAnsi="Times New Roman" w:cs="Times New Roman"/>
          <w:sz w:val="24"/>
          <w:szCs w:val="24"/>
          <w:lang w:bidi="fa-IR"/>
        </w:rPr>
        <w:t>MN ,USA</w:t>
      </w:r>
    </w:p>
    <w:p w14:paraId="592CFFA4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2E582566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069F8656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14:paraId="3C6ED131" w14:textId="617453A5" w:rsidR="00E93192" w:rsidRPr="00FD3966" w:rsidRDefault="00E93192" w:rsidP="00551B8C">
      <w:pPr>
        <w:jc w:val="right"/>
        <w:rPr>
          <w:rFonts w:cs="B Zar"/>
          <w:sz w:val="24"/>
          <w:szCs w:val="24"/>
          <w:rtl/>
          <w:lang w:bidi="fa-IR"/>
        </w:rPr>
      </w:pPr>
    </w:p>
    <w:p w14:paraId="09EEC1DC" w14:textId="77777777" w:rsidR="00FD3966" w:rsidRDefault="00FD3966" w:rsidP="00E93192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278FC1F5" w14:textId="77777777" w:rsidR="00FD3966" w:rsidRPr="001915E5" w:rsidRDefault="00FD3966" w:rsidP="001915E5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6C7D371" w14:textId="2B307111" w:rsidR="00194443" w:rsidRPr="00E74D01" w:rsidRDefault="00194443" w:rsidP="001915E5">
      <w:pPr>
        <w:spacing w:after="160" w:line="360" w:lineRule="auto"/>
        <w:jc w:val="both"/>
        <w:rPr>
          <w:rFonts w:cs="B Zar"/>
          <w:lang w:bidi="fa-IR"/>
        </w:rPr>
      </w:pPr>
    </w:p>
    <w:p w14:paraId="175C8173" w14:textId="77777777" w:rsidR="009062CD" w:rsidRDefault="009062CD" w:rsidP="009062CD">
      <w:pPr>
        <w:bidi/>
        <w:rPr>
          <w:rFonts w:cs="B Nazanin"/>
          <w:lang w:bidi="fa-IR"/>
        </w:rPr>
      </w:pPr>
    </w:p>
    <w:sectPr w:rsidR="00906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Optima ExtraBlack"/>
    <w:charset w:val="B2"/>
    <w:family w:val="auto"/>
    <w:pitch w:val="variable"/>
    <w:sig w:usb0="00002001" w:usb1="80000000" w:usb2="00000008" w:usb3="00000000" w:csb0="00000040" w:csb1="00000000"/>
  </w:font>
  <w:font w:name="B Nazanin">
    <w:altName w:val="Optima ExtraBlack"/>
    <w:charset w:val="B2"/>
    <w:family w:val="auto"/>
    <w:pitch w:val="variable"/>
    <w:sig w:usb0="00002001" w:usb1="80000000" w:usb2="00000008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A5"/>
    <w:rsid w:val="00060859"/>
    <w:rsid w:val="000D2CE3"/>
    <w:rsid w:val="00100719"/>
    <w:rsid w:val="00122194"/>
    <w:rsid w:val="00185084"/>
    <w:rsid w:val="00187D0C"/>
    <w:rsid w:val="001915E5"/>
    <w:rsid w:val="00194443"/>
    <w:rsid w:val="001A2712"/>
    <w:rsid w:val="001E23F2"/>
    <w:rsid w:val="0024223A"/>
    <w:rsid w:val="00270182"/>
    <w:rsid w:val="002A2122"/>
    <w:rsid w:val="002F2A98"/>
    <w:rsid w:val="003072AC"/>
    <w:rsid w:val="00315A9E"/>
    <w:rsid w:val="00315D4B"/>
    <w:rsid w:val="00322A2B"/>
    <w:rsid w:val="003D53BC"/>
    <w:rsid w:val="00466EF8"/>
    <w:rsid w:val="004A5062"/>
    <w:rsid w:val="004A7673"/>
    <w:rsid w:val="004E57BD"/>
    <w:rsid w:val="00522240"/>
    <w:rsid w:val="00551B8C"/>
    <w:rsid w:val="00577ED7"/>
    <w:rsid w:val="00593178"/>
    <w:rsid w:val="0059418C"/>
    <w:rsid w:val="0062657E"/>
    <w:rsid w:val="006403C0"/>
    <w:rsid w:val="00645AF8"/>
    <w:rsid w:val="00660851"/>
    <w:rsid w:val="00747AB2"/>
    <w:rsid w:val="00764CED"/>
    <w:rsid w:val="007956BF"/>
    <w:rsid w:val="008A58BC"/>
    <w:rsid w:val="008B2D4F"/>
    <w:rsid w:val="009062CD"/>
    <w:rsid w:val="00951D7A"/>
    <w:rsid w:val="0098501F"/>
    <w:rsid w:val="00987756"/>
    <w:rsid w:val="00A1381B"/>
    <w:rsid w:val="00A30767"/>
    <w:rsid w:val="00A30B57"/>
    <w:rsid w:val="00A927D8"/>
    <w:rsid w:val="00AB3FEE"/>
    <w:rsid w:val="00AE74C9"/>
    <w:rsid w:val="00B07DE7"/>
    <w:rsid w:val="00B46F3B"/>
    <w:rsid w:val="00B71CFA"/>
    <w:rsid w:val="00B867D5"/>
    <w:rsid w:val="00BC702A"/>
    <w:rsid w:val="00BC721D"/>
    <w:rsid w:val="00C21528"/>
    <w:rsid w:val="00C8453C"/>
    <w:rsid w:val="00C93907"/>
    <w:rsid w:val="00CA0E0B"/>
    <w:rsid w:val="00CE4B4D"/>
    <w:rsid w:val="00CF1BAA"/>
    <w:rsid w:val="00DE5CCD"/>
    <w:rsid w:val="00E137FD"/>
    <w:rsid w:val="00E153F1"/>
    <w:rsid w:val="00E16810"/>
    <w:rsid w:val="00E17831"/>
    <w:rsid w:val="00E566FF"/>
    <w:rsid w:val="00E93192"/>
    <w:rsid w:val="00EC209C"/>
    <w:rsid w:val="00F008A5"/>
    <w:rsid w:val="00F20971"/>
    <w:rsid w:val="00FD3966"/>
    <w:rsid w:val="00FD3C75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؛"/>
  <w14:docId w14:val="078D5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A5"/>
    <w:pPr>
      <w:spacing w:after="0"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7956BF"/>
    <w:pPr>
      <w:spacing w:after="0"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71CF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47A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A5"/>
    <w:pPr>
      <w:spacing w:after="0"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7956BF"/>
    <w:pPr>
      <w:spacing w:after="0"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71CF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47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722A-805E-4B32-ACD5-8024FA17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 masaebi</dc:creator>
  <cp:lastModifiedBy>Appuser</cp:lastModifiedBy>
  <cp:revision>12</cp:revision>
  <cp:lastPrinted>2024-05-15T05:31:00Z</cp:lastPrinted>
  <dcterms:created xsi:type="dcterms:W3CDTF">2024-06-11T07:49:00Z</dcterms:created>
  <dcterms:modified xsi:type="dcterms:W3CDTF">2024-06-23T14:25:00Z</dcterms:modified>
</cp:coreProperties>
</file>