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E4" w:rsidRPr="00D62FE4" w:rsidRDefault="00D62FE4" w:rsidP="00D62FE4">
      <w:pPr>
        <w:bidi w:val="0"/>
        <w:jc w:val="both"/>
        <w:rPr>
          <w:rFonts w:asciiTheme="majorBidi" w:hAnsiTheme="majorBidi" w:cstheme="majorBidi"/>
          <w:b/>
          <w:bCs/>
          <w:sz w:val="24"/>
          <w:szCs w:val="24"/>
        </w:rPr>
      </w:pPr>
      <w:r w:rsidRPr="00D62FE4">
        <w:rPr>
          <w:rFonts w:asciiTheme="majorBidi" w:hAnsiTheme="majorBidi" w:cstheme="majorBidi"/>
          <w:b/>
          <w:bCs/>
          <w:sz w:val="24"/>
          <w:szCs w:val="24"/>
        </w:rPr>
        <w:t xml:space="preserve">The Effect of </w:t>
      </w:r>
      <w:proofErr w:type="spellStart"/>
      <w:r w:rsidRPr="00D62FE4">
        <w:rPr>
          <w:rFonts w:asciiTheme="majorBidi" w:hAnsiTheme="majorBidi" w:cstheme="majorBidi"/>
          <w:b/>
          <w:bCs/>
          <w:sz w:val="24"/>
          <w:szCs w:val="24"/>
        </w:rPr>
        <w:t>Telerehabilitation</w:t>
      </w:r>
      <w:proofErr w:type="spellEnd"/>
      <w:r w:rsidRPr="00D62FE4">
        <w:rPr>
          <w:rFonts w:asciiTheme="majorBidi" w:hAnsiTheme="majorBidi" w:cstheme="majorBidi"/>
          <w:b/>
          <w:bCs/>
          <w:sz w:val="24"/>
          <w:szCs w:val="24"/>
        </w:rPr>
        <w:t xml:space="preserve"> on Improving Exercise Capacity and Quality of Life in Patients with COVID-19; </w:t>
      </w:r>
      <w:proofErr w:type="gramStart"/>
      <w:r w:rsidRPr="00D62FE4">
        <w:rPr>
          <w:rFonts w:asciiTheme="majorBidi" w:hAnsiTheme="majorBidi" w:cstheme="majorBidi"/>
          <w:b/>
          <w:bCs/>
          <w:sz w:val="24"/>
          <w:szCs w:val="24"/>
        </w:rPr>
        <w:t>An</w:t>
      </w:r>
      <w:proofErr w:type="gramEnd"/>
      <w:r w:rsidRPr="00D62FE4">
        <w:rPr>
          <w:rFonts w:asciiTheme="majorBidi" w:hAnsiTheme="majorBidi" w:cstheme="majorBidi"/>
          <w:b/>
          <w:bCs/>
          <w:sz w:val="24"/>
          <w:szCs w:val="24"/>
        </w:rPr>
        <w:t xml:space="preserve"> Experimental Study.</w:t>
      </w:r>
    </w:p>
    <w:p w:rsidR="00D62FE4" w:rsidRPr="00D62FE4" w:rsidRDefault="00D62FE4" w:rsidP="00D62FE4">
      <w:pPr>
        <w:bidi w:val="0"/>
        <w:jc w:val="both"/>
        <w:rPr>
          <w:rFonts w:asciiTheme="majorBidi" w:hAnsiTheme="majorBidi" w:cstheme="majorBidi"/>
          <w:b/>
          <w:bCs/>
          <w:sz w:val="24"/>
          <w:szCs w:val="24"/>
        </w:rPr>
      </w:pPr>
      <w:r w:rsidRPr="00D62FE4">
        <w:rPr>
          <w:rFonts w:asciiTheme="majorBidi" w:hAnsiTheme="majorBidi" w:cstheme="majorBidi"/>
          <w:b/>
          <w:bCs/>
          <w:sz w:val="24"/>
          <w:szCs w:val="24"/>
        </w:rPr>
        <w:t>Abstract</w:t>
      </w:r>
    </w:p>
    <w:p w:rsidR="00D62FE4" w:rsidRPr="00D62FE4" w:rsidRDefault="00D62FE4" w:rsidP="00D62FE4">
      <w:pPr>
        <w:bidi w:val="0"/>
        <w:jc w:val="both"/>
        <w:rPr>
          <w:rFonts w:asciiTheme="majorBidi" w:hAnsiTheme="majorBidi" w:cstheme="majorBidi"/>
          <w:b/>
          <w:bCs/>
          <w:sz w:val="24"/>
          <w:szCs w:val="24"/>
        </w:rPr>
      </w:pPr>
      <w:r w:rsidRPr="00D62FE4">
        <w:rPr>
          <w:rFonts w:asciiTheme="majorBidi" w:hAnsiTheme="majorBidi" w:cstheme="majorBidi"/>
          <w:b/>
          <w:bCs/>
          <w:sz w:val="24"/>
          <w:szCs w:val="24"/>
        </w:rPr>
        <w:t xml:space="preserve">Background </w:t>
      </w:r>
    </w:p>
    <w:p w:rsidR="0044608F" w:rsidRPr="0044608F" w:rsidRDefault="0044608F" w:rsidP="0044608F">
      <w:pPr>
        <w:bidi w:val="0"/>
        <w:jc w:val="both"/>
        <w:rPr>
          <w:rFonts w:asciiTheme="majorBidi" w:hAnsiTheme="majorBidi" w:cstheme="majorBidi"/>
          <w:sz w:val="24"/>
          <w:szCs w:val="24"/>
        </w:rPr>
      </w:pPr>
      <w:proofErr w:type="spellStart"/>
      <w:r w:rsidRPr="0044608F">
        <w:rPr>
          <w:rFonts w:asciiTheme="majorBidi" w:hAnsiTheme="majorBidi" w:cstheme="majorBidi"/>
          <w:sz w:val="24"/>
          <w:szCs w:val="24"/>
        </w:rPr>
        <w:t>Telerehabilitation</w:t>
      </w:r>
      <w:proofErr w:type="spellEnd"/>
      <w:r w:rsidRPr="0044608F">
        <w:rPr>
          <w:rFonts w:asciiTheme="majorBidi" w:hAnsiTheme="majorBidi" w:cstheme="majorBidi"/>
          <w:sz w:val="24"/>
          <w:szCs w:val="24"/>
        </w:rPr>
        <w:t xml:space="preserve"> has emerged as an effective solution during the COVID-19 pandemic, providing convenient access to rehabilitation services and improving exercise capacity and quality of life for patients. By utilizing technology like videoconferencing and remote monitoring, healthcare professionals can deliver personalized exercise programs, offer real-time feedback, and monitor progress. This study aimed to evaluate the impact of </w:t>
      </w:r>
      <w:proofErr w:type="spellStart"/>
      <w:r w:rsidRPr="0044608F">
        <w:rPr>
          <w:rFonts w:asciiTheme="majorBidi" w:hAnsiTheme="majorBidi" w:cstheme="majorBidi"/>
          <w:sz w:val="24"/>
          <w:szCs w:val="24"/>
        </w:rPr>
        <w:t>telerehabilitation</w:t>
      </w:r>
      <w:proofErr w:type="spellEnd"/>
      <w:r w:rsidRPr="0044608F">
        <w:rPr>
          <w:rFonts w:asciiTheme="majorBidi" w:hAnsiTheme="majorBidi" w:cstheme="majorBidi"/>
          <w:sz w:val="24"/>
          <w:szCs w:val="24"/>
        </w:rPr>
        <w:t xml:space="preserve"> on COVID-19 survivors' lung functional deficits.</w:t>
      </w:r>
    </w:p>
    <w:p w:rsidR="0044608F" w:rsidRPr="0044608F" w:rsidRDefault="00D62FE4" w:rsidP="00D62FE4">
      <w:pPr>
        <w:bidi w:val="0"/>
        <w:jc w:val="both"/>
        <w:rPr>
          <w:rFonts w:asciiTheme="majorBidi" w:hAnsiTheme="majorBidi" w:cstheme="majorBidi"/>
          <w:sz w:val="24"/>
          <w:szCs w:val="24"/>
        </w:rPr>
      </w:pPr>
      <w:r w:rsidRPr="00D62FE4">
        <w:rPr>
          <w:rFonts w:asciiTheme="majorBidi" w:hAnsiTheme="majorBidi" w:cstheme="majorBidi"/>
          <w:b/>
          <w:bCs/>
          <w:sz w:val="24"/>
          <w:szCs w:val="24"/>
        </w:rPr>
        <w:t>Method</w:t>
      </w:r>
    </w:p>
    <w:p w:rsidR="0044608F" w:rsidRPr="0044608F" w:rsidRDefault="0044608F" w:rsidP="0044608F">
      <w:pPr>
        <w:bidi w:val="0"/>
        <w:jc w:val="both"/>
        <w:rPr>
          <w:rFonts w:asciiTheme="majorBidi" w:hAnsiTheme="majorBidi" w:cstheme="majorBidi"/>
          <w:sz w:val="24"/>
          <w:szCs w:val="24"/>
        </w:rPr>
      </w:pPr>
      <w:r w:rsidRPr="0044608F">
        <w:rPr>
          <w:rFonts w:asciiTheme="majorBidi" w:hAnsiTheme="majorBidi" w:cstheme="majorBidi"/>
          <w:sz w:val="24"/>
          <w:szCs w:val="24"/>
        </w:rPr>
        <w:t xml:space="preserve">A total of 150 participants were randomly assigned to either the intervention or control group. The intervention group underwent a 4-week </w:t>
      </w:r>
      <w:proofErr w:type="spellStart"/>
      <w:r w:rsidRPr="0044608F">
        <w:rPr>
          <w:rFonts w:asciiTheme="majorBidi" w:hAnsiTheme="majorBidi" w:cstheme="majorBidi"/>
          <w:sz w:val="24"/>
          <w:szCs w:val="24"/>
        </w:rPr>
        <w:t>tele</w:t>
      </w:r>
      <w:proofErr w:type="spellEnd"/>
      <w:r w:rsidRPr="0044608F">
        <w:rPr>
          <w:rFonts w:asciiTheme="majorBidi" w:hAnsiTheme="majorBidi" w:cstheme="majorBidi"/>
          <w:sz w:val="24"/>
          <w:szCs w:val="24"/>
        </w:rPr>
        <w:t>-rehabilitation program, while the control group received routine advice. The program included respiratory training, aerobic and resistive exercises with specific intensity, frequency, and duration. A physical medicine and rehabilitation specialist evaluated the participants twice a week through phone calls.</w:t>
      </w:r>
    </w:p>
    <w:p w:rsidR="00D62FE4" w:rsidRPr="00D62FE4" w:rsidRDefault="00D62FE4" w:rsidP="00D62FE4">
      <w:pPr>
        <w:bidi w:val="0"/>
        <w:jc w:val="both"/>
        <w:rPr>
          <w:rFonts w:asciiTheme="majorBidi" w:hAnsiTheme="majorBidi" w:cstheme="majorBidi"/>
          <w:sz w:val="24"/>
          <w:szCs w:val="24"/>
        </w:rPr>
      </w:pPr>
      <w:r w:rsidRPr="00D62FE4">
        <w:rPr>
          <w:rFonts w:asciiTheme="majorBidi" w:hAnsiTheme="majorBidi" w:cstheme="majorBidi"/>
          <w:b/>
          <w:bCs/>
          <w:sz w:val="24"/>
          <w:szCs w:val="24"/>
        </w:rPr>
        <w:t>Results</w:t>
      </w:r>
    </w:p>
    <w:p w:rsidR="0044608F" w:rsidRPr="0044608F" w:rsidRDefault="0044608F" w:rsidP="0044608F">
      <w:pPr>
        <w:bidi w:val="0"/>
        <w:jc w:val="both"/>
        <w:rPr>
          <w:rFonts w:asciiTheme="majorBidi" w:hAnsiTheme="majorBidi" w:cstheme="majorBidi"/>
          <w:sz w:val="24"/>
          <w:szCs w:val="24"/>
        </w:rPr>
      </w:pPr>
      <w:r w:rsidRPr="0044608F">
        <w:rPr>
          <w:rFonts w:asciiTheme="majorBidi" w:hAnsiTheme="majorBidi" w:cstheme="majorBidi"/>
          <w:sz w:val="24"/>
          <w:szCs w:val="24"/>
        </w:rPr>
        <w:t>After the intervention, significant improvements were observed in the intervention group compared to the control group. The intervention group showed better results in the six-minute walking test, indicating improved physical endurance. They also reported higher scores in the SF-12 questionnaire, indicating better overall health-related quality of life. Oxygen saturation levels (SPO2) and the reduction of SPO2 after the six-minute walking test also showed significant improvements in the intervention group.</w:t>
      </w:r>
    </w:p>
    <w:p w:rsidR="00D62FE4" w:rsidRPr="00D62FE4" w:rsidRDefault="00D62FE4" w:rsidP="00D62FE4">
      <w:pPr>
        <w:bidi w:val="0"/>
        <w:jc w:val="both"/>
        <w:rPr>
          <w:rFonts w:asciiTheme="majorBidi" w:hAnsiTheme="majorBidi" w:cstheme="majorBidi"/>
          <w:sz w:val="24"/>
          <w:szCs w:val="24"/>
        </w:rPr>
      </w:pPr>
      <w:r w:rsidRPr="00D62FE4">
        <w:rPr>
          <w:rFonts w:asciiTheme="majorBidi" w:hAnsiTheme="majorBidi" w:cstheme="majorBidi"/>
          <w:b/>
          <w:bCs/>
          <w:sz w:val="24"/>
          <w:szCs w:val="24"/>
        </w:rPr>
        <w:t>Conclusion</w:t>
      </w:r>
    </w:p>
    <w:p w:rsidR="0044608F" w:rsidRPr="0044608F" w:rsidRDefault="0044608F" w:rsidP="0044608F">
      <w:pPr>
        <w:bidi w:val="0"/>
        <w:jc w:val="both"/>
        <w:rPr>
          <w:rFonts w:asciiTheme="majorBidi" w:hAnsiTheme="majorBidi" w:cstheme="majorBidi"/>
          <w:sz w:val="24"/>
          <w:szCs w:val="24"/>
        </w:rPr>
      </w:pPr>
      <w:r w:rsidRPr="0044608F">
        <w:rPr>
          <w:rFonts w:asciiTheme="majorBidi" w:hAnsiTheme="majorBidi" w:cstheme="majorBidi"/>
          <w:sz w:val="24"/>
          <w:szCs w:val="24"/>
        </w:rPr>
        <w:t xml:space="preserve">These findings suggest that </w:t>
      </w:r>
      <w:proofErr w:type="spellStart"/>
      <w:r w:rsidRPr="0044608F">
        <w:rPr>
          <w:rFonts w:asciiTheme="majorBidi" w:hAnsiTheme="majorBidi" w:cstheme="majorBidi"/>
          <w:sz w:val="24"/>
          <w:szCs w:val="24"/>
        </w:rPr>
        <w:t>telerehabilitation</w:t>
      </w:r>
      <w:proofErr w:type="spellEnd"/>
      <w:r w:rsidRPr="0044608F">
        <w:rPr>
          <w:rFonts w:asciiTheme="majorBidi" w:hAnsiTheme="majorBidi" w:cstheme="majorBidi"/>
          <w:sz w:val="24"/>
          <w:szCs w:val="24"/>
        </w:rPr>
        <w:t xml:space="preserve"> can effectively improve exercise capacity, enhance quality of life, and improve respiratory function in COVID-19 survivors. However, further research with larger sample sizes is needed to validate these results and explore the underlying mechanisms. </w:t>
      </w:r>
      <w:proofErr w:type="spellStart"/>
      <w:r w:rsidRPr="0044608F">
        <w:rPr>
          <w:rFonts w:asciiTheme="majorBidi" w:hAnsiTheme="majorBidi" w:cstheme="majorBidi"/>
          <w:sz w:val="24"/>
          <w:szCs w:val="24"/>
        </w:rPr>
        <w:t>Telerehabilitation</w:t>
      </w:r>
      <w:proofErr w:type="spellEnd"/>
      <w:r w:rsidRPr="0044608F">
        <w:rPr>
          <w:rFonts w:asciiTheme="majorBidi" w:hAnsiTheme="majorBidi" w:cstheme="majorBidi"/>
          <w:sz w:val="24"/>
          <w:szCs w:val="24"/>
        </w:rPr>
        <w:t xml:space="preserve"> has proven to be an essential tool in optimizing the rehabilitation process and empowering patients in their recovery journey during the COVID-19 pandemic.</w:t>
      </w:r>
    </w:p>
    <w:p w:rsidR="00D62FE4" w:rsidRDefault="00D62FE4" w:rsidP="00D62FE4">
      <w:pPr>
        <w:keepNext/>
        <w:bidi w:val="0"/>
        <w:spacing w:line="480" w:lineRule="auto"/>
        <w:jc w:val="both"/>
        <w:rPr>
          <w:rFonts w:ascii="Times New Roman" w:eastAsia="Calibri" w:hAnsi="Times New Roman" w:cs="Times New Roman"/>
          <w:b/>
          <w:bCs/>
        </w:rPr>
      </w:pPr>
    </w:p>
    <w:p w:rsidR="00D62FE4" w:rsidRDefault="00D62FE4" w:rsidP="00D62FE4">
      <w:pPr>
        <w:keepNext/>
        <w:bidi w:val="0"/>
        <w:spacing w:line="480" w:lineRule="auto"/>
        <w:jc w:val="both"/>
        <w:rPr>
          <w:rFonts w:ascii="Times New Roman" w:eastAsia="Calibri" w:hAnsi="Times New Roman" w:cs="Times New Roman"/>
          <w:b/>
          <w:bCs/>
        </w:rPr>
      </w:pPr>
    </w:p>
    <w:p w:rsidR="00D62FE4" w:rsidRPr="00C84BE1" w:rsidRDefault="00D62FE4" w:rsidP="00D62FE4">
      <w:pPr>
        <w:keepNext/>
        <w:bidi w:val="0"/>
        <w:spacing w:line="480" w:lineRule="auto"/>
        <w:jc w:val="both"/>
        <w:rPr>
          <w:rFonts w:ascii="Times New Roman" w:eastAsia="Calibri" w:hAnsi="Times New Roman" w:cs="Times New Roman"/>
        </w:rPr>
      </w:pPr>
      <w:bookmarkStart w:id="0" w:name="_GoBack"/>
      <w:bookmarkEnd w:id="0"/>
      <w:r w:rsidRPr="00C84BE1">
        <w:rPr>
          <w:rFonts w:ascii="Times New Roman" w:eastAsia="Calibri" w:hAnsi="Times New Roman" w:cs="Times New Roman"/>
          <w:b/>
          <w:bCs/>
        </w:rPr>
        <w:t>Table</w:t>
      </w:r>
      <w:r w:rsidRPr="00C84BE1">
        <w:rPr>
          <w:rFonts w:ascii="Times New Roman" w:eastAsia="Calibri" w:hAnsi="Times New Roman" w:cs="Times New Roman"/>
        </w:rPr>
        <w:t>. The inter-group analysis of outcome measures among two groups in the initial and after 4 weeks’ assessment</w:t>
      </w:r>
    </w:p>
    <w:tbl>
      <w:tblPr>
        <w:tblStyle w:val="PlainTable21"/>
        <w:tblW w:w="9249" w:type="dxa"/>
        <w:tblLook w:val="04A0" w:firstRow="1" w:lastRow="0" w:firstColumn="1" w:lastColumn="0" w:noHBand="0" w:noVBand="1"/>
      </w:tblPr>
      <w:tblGrid>
        <w:gridCol w:w="1530"/>
        <w:gridCol w:w="2700"/>
        <w:gridCol w:w="1980"/>
        <w:gridCol w:w="1890"/>
        <w:gridCol w:w="1149"/>
      </w:tblGrid>
      <w:tr w:rsidR="00D62FE4" w:rsidRPr="00C84BE1" w:rsidTr="005423D8">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30" w:type="dxa"/>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hideMark/>
          </w:tcPr>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84BE1">
              <w:rPr>
                <w:rFonts w:ascii="Times New Roman" w:eastAsia="Times New Roman" w:hAnsi="Times New Roman" w:cs="Times New Roman"/>
                <w:color w:val="000000"/>
                <w:sz w:val="16"/>
                <w:szCs w:val="16"/>
              </w:rPr>
              <w:t> </w:t>
            </w:r>
          </w:p>
        </w:tc>
        <w:tc>
          <w:tcPr>
            <w:tcW w:w="1980" w:type="dxa"/>
            <w:hideMark/>
          </w:tcPr>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84BE1">
              <w:rPr>
                <w:rFonts w:ascii="Times New Roman" w:eastAsia="Times New Roman" w:hAnsi="Times New Roman" w:cs="Times New Roman"/>
                <w:color w:val="000000"/>
                <w:sz w:val="16"/>
                <w:szCs w:val="16"/>
              </w:rPr>
              <w:t>Intervention group</w:t>
            </w:r>
          </w:p>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84BE1">
              <w:rPr>
                <w:rFonts w:ascii="Times New Roman" w:eastAsia="Times New Roman" w:hAnsi="Times New Roman" w:cs="Times New Roman"/>
                <w:color w:val="000000"/>
                <w:sz w:val="16"/>
                <w:szCs w:val="16"/>
              </w:rPr>
              <w:t>mean ± Std. deviation</w:t>
            </w:r>
          </w:p>
        </w:tc>
        <w:tc>
          <w:tcPr>
            <w:tcW w:w="1890" w:type="dxa"/>
            <w:hideMark/>
          </w:tcPr>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84BE1">
              <w:rPr>
                <w:rFonts w:ascii="Times New Roman" w:eastAsia="Times New Roman" w:hAnsi="Times New Roman" w:cs="Times New Roman"/>
                <w:color w:val="000000"/>
                <w:sz w:val="16"/>
                <w:szCs w:val="16"/>
              </w:rPr>
              <w:t>Control group</w:t>
            </w:r>
          </w:p>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C84BE1">
              <w:rPr>
                <w:rFonts w:ascii="Times New Roman" w:eastAsia="Times New Roman" w:hAnsi="Times New Roman" w:cs="Times New Roman"/>
                <w:color w:val="000000"/>
                <w:sz w:val="16"/>
                <w:szCs w:val="16"/>
              </w:rPr>
              <w:t>mean ± Std. deviation</w:t>
            </w:r>
          </w:p>
        </w:tc>
        <w:tc>
          <w:tcPr>
            <w:tcW w:w="1149" w:type="dxa"/>
            <w:noWrap/>
            <w:hideMark/>
          </w:tcPr>
          <w:p w:rsidR="00D62FE4" w:rsidRPr="00C84BE1" w:rsidRDefault="00D62FE4" w:rsidP="005423D8">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84BE1">
              <w:rPr>
                <w:rFonts w:ascii="Times New Roman" w:eastAsia="Times New Roman" w:hAnsi="Times New Roman" w:cs="Times New Roman"/>
                <w:color w:val="000000"/>
                <w:sz w:val="20"/>
                <w:szCs w:val="20"/>
              </w:rPr>
              <w:t>P-value</w:t>
            </w:r>
          </w:p>
        </w:tc>
      </w:tr>
      <w:tr w:rsidR="00D62FE4" w:rsidRPr="00C84BE1" w:rsidTr="005423D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30" w:type="dxa"/>
            <w:vMerge w:val="restart"/>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r w:rsidRPr="00C84BE1">
              <w:rPr>
                <w:rFonts w:ascii="Times New Roman" w:eastAsia="Calibri" w:hAnsi="Times New Roman" w:cs="Times New Roman"/>
                <w:sz w:val="20"/>
                <w:szCs w:val="20"/>
              </w:rPr>
              <w:t>Initial assessment</w:t>
            </w:r>
          </w:p>
        </w:tc>
        <w:tc>
          <w:tcPr>
            <w:tcW w:w="2700" w:type="dxa"/>
            <w:hideMark/>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 xml:space="preserve">6MWT (m) </w:t>
            </w:r>
          </w:p>
        </w:tc>
        <w:tc>
          <w:tcPr>
            <w:tcW w:w="1980" w:type="dxa"/>
            <w:noWrap/>
            <w:hideMark/>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351.0 ± 102.0</w:t>
            </w:r>
          </w:p>
        </w:tc>
        <w:tc>
          <w:tcPr>
            <w:tcW w:w="1890" w:type="dxa"/>
            <w:noWrap/>
            <w:hideMark/>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316.93 ± 99.4</w:t>
            </w:r>
          </w:p>
        </w:tc>
        <w:tc>
          <w:tcPr>
            <w:tcW w:w="1149" w:type="dxa"/>
            <w:noWrap/>
            <w:hideMark/>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0.146</w:t>
            </w:r>
          </w:p>
        </w:tc>
      </w:tr>
      <w:tr w:rsidR="00D62FE4" w:rsidRPr="00C84BE1" w:rsidTr="005423D8">
        <w:trPr>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Calibri" w:hAnsi="Times New Roman" w:cs="Times New Roman"/>
                <w:sz w:val="20"/>
                <w:szCs w:val="20"/>
              </w:rPr>
            </w:pPr>
          </w:p>
        </w:tc>
        <w:tc>
          <w:tcPr>
            <w:tcW w:w="2700" w:type="dxa"/>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SF-12</w:t>
            </w:r>
          </w:p>
        </w:tc>
        <w:tc>
          <w:tcPr>
            <w:tcW w:w="198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28.2 ± 3.3</w:t>
            </w:r>
          </w:p>
        </w:tc>
        <w:tc>
          <w:tcPr>
            <w:tcW w:w="189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27.1 ± 4.1</w:t>
            </w:r>
          </w:p>
        </w:tc>
        <w:tc>
          <w:tcPr>
            <w:tcW w:w="1149"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0.314*</w:t>
            </w:r>
          </w:p>
        </w:tc>
      </w:tr>
      <w:tr w:rsidR="00D62FE4" w:rsidRPr="00C84BE1" w:rsidTr="005423D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SpO2 before 6MWT (%)</w:t>
            </w:r>
          </w:p>
        </w:tc>
        <w:tc>
          <w:tcPr>
            <w:tcW w:w="198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93.2 ± 2.7</w:t>
            </w:r>
          </w:p>
        </w:tc>
        <w:tc>
          <w:tcPr>
            <w:tcW w:w="189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93.5 ± 2.1</w:t>
            </w:r>
          </w:p>
        </w:tc>
        <w:tc>
          <w:tcPr>
            <w:tcW w:w="1149"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0.782*</w:t>
            </w:r>
          </w:p>
        </w:tc>
      </w:tr>
      <w:tr w:rsidR="00D62FE4" w:rsidRPr="00C84BE1" w:rsidTr="005423D8">
        <w:trPr>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 xml:space="preserve">Reduction of SpO2 </w:t>
            </w:r>
          </w:p>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proofErr w:type="gramStart"/>
            <w:r w:rsidRPr="00C84BE1">
              <w:rPr>
                <w:rFonts w:ascii="Times New Roman" w:eastAsia="Times New Roman" w:hAnsi="Times New Roman" w:cs="Times New Roman"/>
                <w:b/>
                <w:bCs/>
                <w:color w:val="000000"/>
                <w:sz w:val="16"/>
                <w:szCs w:val="16"/>
              </w:rPr>
              <w:t>after</w:t>
            </w:r>
            <w:proofErr w:type="gramEnd"/>
            <w:r w:rsidRPr="00C84BE1">
              <w:rPr>
                <w:rFonts w:ascii="Times New Roman" w:eastAsia="Times New Roman" w:hAnsi="Times New Roman" w:cs="Times New Roman"/>
                <w:b/>
                <w:bCs/>
                <w:color w:val="000000"/>
                <w:sz w:val="16"/>
                <w:szCs w:val="16"/>
              </w:rPr>
              <w:t xml:space="preserve"> 6MWT (%)</w:t>
            </w:r>
          </w:p>
        </w:tc>
        <w:tc>
          <w:tcPr>
            <w:tcW w:w="198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3.8 ± 3.2</w:t>
            </w:r>
          </w:p>
        </w:tc>
        <w:tc>
          <w:tcPr>
            <w:tcW w:w="189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4.2 ± 3.0</w:t>
            </w:r>
          </w:p>
        </w:tc>
        <w:tc>
          <w:tcPr>
            <w:tcW w:w="1149"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0.416*</w:t>
            </w:r>
          </w:p>
        </w:tc>
      </w:tr>
      <w:tr w:rsidR="00D62FE4" w:rsidRPr="00C84BE1" w:rsidTr="005423D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30" w:type="dxa"/>
            <w:vMerge w:val="restart"/>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r w:rsidRPr="00C84BE1">
              <w:rPr>
                <w:rFonts w:ascii="Times New Roman" w:eastAsia="Calibri" w:hAnsi="Times New Roman" w:cs="Times New Roman"/>
                <w:sz w:val="20"/>
                <w:szCs w:val="20"/>
              </w:rPr>
              <w:t>After 4 weeks</w:t>
            </w:r>
          </w:p>
        </w:tc>
        <w:tc>
          <w:tcPr>
            <w:tcW w:w="2700" w:type="dxa"/>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6MWT (m)</w:t>
            </w:r>
          </w:p>
        </w:tc>
        <w:tc>
          <w:tcPr>
            <w:tcW w:w="198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395.9 ± 102.9</w:t>
            </w:r>
          </w:p>
        </w:tc>
        <w:tc>
          <w:tcPr>
            <w:tcW w:w="189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335.47 ± 98.5</w:t>
            </w:r>
          </w:p>
        </w:tc>
        <w:tc>
          <w:tcPr>
            <w:tcW w:w="1149"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0.011</w:t>
            </w:r>
          </w:p>
        </w:tc>
      </w:tr>
      <w:tr w:rsidR="00D62FE4" w:rsidRPr="00C84BE1" w:rsidTr="005423D8">
        <w:trPr>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SpO2 before 6MWT (%)</w:t>
            </w:r>
          </w:p>
        </w:tc>
        <w:tc>
          <w:tcPr>
            <w:tcW w:w="198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95.1 ± 1.2</w:t>
            </w:r>
          </w:p>
        </w:tc>
        <w:tc>
          <w:tcPr>
            <w:tcW w:w="189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93.9 ± 1.9</w:t>
            </w:r>
          </w:p>
        </w:tc>
        <w:tc>
          <w:tcPr>
            <w:tcW w:w="1149"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0.004*</w:t>
            </w:r>
          </w:p>
        </w:tc>
      </w:tr>
      <w:tr w:rsidR="00D62FE4" w:rsidRPr="00C84BE1" w:rsidTr="005423D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 xml:space="preserve">Reduction of SpO2 </w:t>
            </w:r>
          </w:p>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6"/>
                <w:szCs w:val="16"/>
              </w:rPr>
            </w:pPr>
            <w:proofErr w:type="gramStart"/>
            <w:r w:rsidRPr="00C84BE1">
              <w:rPr>
                <w:rFonts w:ascii="Times New Roman" w:eastAsia="Times New Roman" w:hAnsi="Times New Roman" w:cs="Times New Roman"/>
                <w:b/>
                <w:bCs/>
                <w:color w:val="000000"/>
                <w:sz w:val="16"/>
                <w:szCs w:val="16"/>
              </w:rPr>
              <w:t>after</w:t>
            </w:r>
            <w:proofErr w:type="gramEnd"/>
            <w:r w:rsidRPr="00C84BE1">
              <w:rPr>
                <w:rFonts w:ascii="Times New Roman" w:eastAsia="Times New Roman" w:hAnsi="Times New Roman" w:cs="Times New Roman"/>
                <w:b/>
                <w:bCs/>
                <w:color w:val="000000"/>
                <w:sz w:val="16"/>
                <w:szCs w:val="16"/>
              </w:rPr>
              <w:t xml:space="preserve"> 6MWT (%)</w:t>
            </w:r>
          </w:p>
        </w:tc>
        <w:tc>
          <w:tcPr>
            <w:tcW w:w="198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1.2 ± 1.1</w:t>
            </w:r>
          </w:p>
        </w:tc>
        <w:tc>
          <w:tcPr>
            <w:tcW w:w="1890"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2.8 ± 1.9</w:t>
            </w:r>
          </w:p>
        </w:tc>
        <w:tc>
          <w:tcPr>
            <w:tcW w:w="1149" w:type="dxa"/>
            <w:noWrap/>
          </w:tcPr>
          <w:p w:rsidR="00D62FE4" w:rsidRPr="00C84BE1" w:rsidRDefault="00D62FE4" w:rsidP="005423D8">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&lt; 0.001*</w:t>
            </w:r>
          </w:p>
        </w:tc>
      </w:tr>
      <w:tr w:rsidR="00D62FE4" w:rsidRPr="00C84BE1" w:rsidTr="005423D8">
        <w:trPr>
          <w:trHeight w:val="241"/>
        </w:trPr>
        <w:tc>
          <w:tcPr>
            <w:cnfStyle w:val="001000000000" w:firstRow="0" w:lastRow="0" w:firstColumn="1" w:lastColumn="0" w:oddVBand="0" w:evenVBand="0" w:oddHBand="0" w:evenHBand="0" w:firstRowFirstColumn="0" w:firstRowLastColumn="0" w:lastRowFirstColumn="0" w:lastRowLastColumn="0"/>
            <w:tcW w:w="1530" w:type="dxa"/>
            <w:vMerge/>
          </w:tcPr>
          <w:p w:rsidR="00D62FE4" w:rsidRPr="00C84BE1" w:rsidRDefault="00D62FE4" w:rsidP="005423D8">
            <w:pPr>
              <w:spacing w:line="480" w:lineRule="auto"/>
              <w:jc w:val="both"/>
              <w:rPr>
                <w:rFonts w:ascii="Times New Roman" w:eastAsia="Times New Roman" w:hAnsi="Times New Roman" w:cs="Times New Roman"/>
                <w:color w:val="000000"/>
                <w:sz w:val="16"/>
                <w:szCs w:val="16"/>
              </w:rPr>
            </w:pPr>
          </w:p>
        </w:tc>
        <w:tc>
          <w:tcPr>
            <w:tcW w:w="2700" w:type="dxa"/>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rPr>
            </w:pPr>
            <w:r w:rsidRPr="00C84BE1">
              <w:rPr>
                <w:rFonts w:ascii="Times New Roman" w:eastAsia="Times New Roman" w:hAnsi="Times New Roman" w:cs="Times New Roman"/>
                <w:b/>
                <w:bCs/>
                <w:color w:val="000000"/>
                <w:sz w:val="16"/>
                <w:szCs w:val="16"/>
              </w:rPr>
              <w:t>SF-12</w:t>
            </w:r>
          </w:p>
        </w:tc>
        <w:tc>
          <w:tcPr>
            <w:tcW w:w="198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36.1 ± 6.3</w:t>
            </w:r>
          </w:p>
        </w:tc>
        <w:tc>
          <w:tcPr>
            <w:tcW w:w="1890"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28.9 ± 4.2</w:t>
            </w:r>
          </w:p>
        </w:tc>
        <w:tc>
          <w:tcPr>
            <w:tcW w:w="1149" w:type="dxa"/>
            <w:noWrap/>
          </w:tcPr>
          <w:p w:rsidR="00D62FE4" w:rsidRPr="00C84BE1" w:rsidRDefault="00D62FE4" w:rsidP="005423D8">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&lt; 0.001*</w:t>
            </w:r>
          </w:p>
        </w:tc>
      </w:tr>
    </w:tbl>
    <w:p w:rsidR="00D62FE4" w:rsidRPr="00C84BE1" w:rsidRDefault="00D62FE4" w:rsidP="00D62FE4">
      <w:pPr>
        <w:bidi w:val="0"/>
        <w:spacing w:line="480" w:lineRule="auto"/>
        <w:jc w:val="both"/>
        <w:rPr>
          <w:rFonts w:ascii="Times New Roman" w:eastAsia="Times New Roman" w:hAnsi="Times New Roman" w:cs="Times New Roman"/>
          <w:color w:val="000000"/>
          <w:sz w:val="18"/>
          <w:szCs w:val="18"/>
        </w:rPr>
      </w:pPr>
      <w:r w:rsidRPr="00C84BE1">
        <w:rPr>
          <w:rFonts w:ascii="Times New Roman" w:eastAsia="Times New Roman" w:hAnsi="Times New Roman" w:cs="Times New Roman"/>
          <w:color w:val="000000"/>
          <w:sz w:val="18"/>
          <w:szCs w:val="18"/>
        </w:rPr>
        <w:t xml:space="preserve">*The P-value is based on the Mann-Whitney test. </w:t>
      </w:r>
      <w:r w:rsidRPr="00C84BE1">
        <w:rPr>
          <w:rFonts w:ascii="Times New Roman" w:eastAsia="Calibri" w:hAnsi="Times New Roman" w:cs="Times New Roman"/>
          <w:noProof/>
          <w:sz w:val="18"/>
          <w:szCs w:val="18"/>
        </w:rPr>
        <w:t>6MWT: 6-minute walked test, SpO2: saturation of peripheral oxygen, SF-12: short-form survey 12</w:t>
      </w:r>
    </w:p>
    <w:p w:rsidR="008F58F9" w:rsidRPr="00E05C4F" w:rsidRDefault="008F58F9" w:rsidP="00D62FE4">
      <w:pPr>
        <w:bidi w:val="0"/>
        <w:jc w:val="both"/>
        <w:rPr>
          <w:rFonts w:asciiTheme="majorBidi" w:hAnsiTheme="majorBidi" w:cstheme="majorBidi"/>
          <w:sz w:val="24"/>
          <w:szCs w:val="24"/>
        </w:rPr>
      </w:pPr>
    </w:p>
    <w:sectPr w:rsidR="008F58F9" w:rsidRPr="00E05C4F" w:rsidSect="009F496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F9"/>
    <w:rsid w:val="0044608F"/>
    <w:rsid w:val="008F58F9"/>
    <w:rsid w:val="009F4964"/>
    <w:rsid w:val="00D62FE4"/>
    <w:rsid w:val="00D64B40"/>
    <w:rsid w:val="00E05C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58F9"/>
    <w:rPr>
      <w:rFonts w:ascii="Courier New" w:eastAsia="Times New Roman" w:hAnsi="Courier New" w:cs="Courier New"/>
      <w:sz w:val="20"/>
      <w:szCs w:val="20"/>
    </w:rPr>
  </w:style>
  <w:style w:type="table" w:customStyle="1" w:styleId="PlainTable21">
    <w:name w:val="Plain Table 21"/>
    <w:basedOn w:val="TableNormal"/>
    <w:uiPriority w:val="42"/>
    <w:rsid w:val="00D62FE4"/>
    <w:pPr>
      <w:spacing w:after="0" w:line="240" w:lineRule="auto"/>
    </w:pPr>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58F9"/>
    <w:rPr>
      <w:rFonts w:ascii="Courier New" w:eastAsia="Times New Roman" w:hAnsi="Courier New" w:cs="Courier New"/>
      <w:sz w:val="20"/>
      <w:szCs w:val="20"/>
    </w:rPr>
  </w:style>
  <w:style w:type="table" w:customStyle="1" w:styleId="PlainTable21">
    <w:name w:val="Plain Table 21"/>
    <w:basedOn w:val="TableNormal"/>
    <w:uiPriority w:val="42"/>
    <w:rsid w:val="00D62FE4"/>
    <w:pPr>
      <w:spacing w:after="0" w:line="240" w:lineRule="auto"/>
    </w:pPr>
    <w:rPr>
      <w:lang w:bidi="ar-S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1232">
      <w:bodyDiv w:val="1"/>
      <w:marLeft w:val="0"/>
      <w:marRight w:val="0"/>
      <w:marTop w:val="0"/>
      <w:marBottom w:val="0"/>
      <w:divBdr>
        <w:top w:val="none" w:sz="0" w:space="0" w:color="auto"/>
        <w:left w:val="none" w:sz="0" w:space="0" w:color="auto"/>
        <w:bottom w:val="none" w:sz="0" w:space="0" w:color="auto"/>
        <w:right w:val="none" w:sz="0" w:space="0" w:color="auto"/>
      </w:divBdr>
    </w:div>
    <w:div w:id="285547226">
      <w:bodyDiv w:val="1"/>
      <w:marLeft w:val="0"/>
      <w:marRight w:val="0"/>
      <w:marTop w:val="0"/>
      <w:marBottom w:val="0"/>
      <w:divBdr>
        <w:top w:val="none" w:sz="0" w:space="0" w:color="auto"/>
        <w:left w:val="none" w:sz="0" w:space="0" w:color="auto"/>
        <w:bottom w:val="none" w:sz="0" w:space="0" w:color="auto"/>
        <w:right w:val="none" w:sz="0" w:space="0" w:color="auto"/>
      </w:divBdr>
      <w:divsChild>
        <w:div w:id="1044409992">
          <w:marLeft w:val="0"/>
          <w:marRight w:val="0"/>
          <w:marTop w:val="0"/>
          <w:marBottom w:val="0"/>
          <w:divBdr>
            <w:top w:val="none" w:sz="0" w:space="0" w:color="auto"/>
            <w:left w:val="none" w:sz="0" w:space="0" w:color="auto"/>
            <w:bottom w:val="none" w:sz="0" w:space="0" w:color="auto"/>
            <w:right w:val="none" w:sz="0" w:space="0" w:color="auto"/>
          </w:divBdr>
          <w:divsChild>
            <w:div w:id="16808923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5824940">
      <w:bodyDiv w:val="1"/>
      <w:marLeft w:val="0"/>
      <w:marRight w:val="0"/>
      <w:marTop w:val="0"/>
      <w:marBottom w:val="0"/>
      <w:divBdr>
        <w:top w:val="none" w:sz="0" w:space="0" w:color="auto"/>
        <w:left w:val="none" w:sz="0" w:space="0" w:color="auto"/>
        <w:bottom w:val="none" w:sz="0" w:space="0" w:color="auto"/>
        <w:right w:val="none" w:sz="0" w:space="0" w:color="auto"/>
      </w:divBdr>
      <w:divsChild>
        <w:div w:id="1863206281">
          <w:marLeft w:val="0"/>
          <w:marRight w:val="0"/>
          <w:marTop w:val="0"/>
          <w:marBottom w:val="0"/>
          <w:divBdr>
            <w:top w:val="none" w:sz="0" w:space="0" w:color="auto"/>
            <w:left w:val="none" w:sz="0" w:space="0" w:color="auto"/>
            <w:bottom w:val="none" w:sz="0" w:space="0" w:color="auto"/>
            <w:right w:val="none" w:sz="0" w:space="0" w:color="auto"/>
          </w:divBdr>
          <w:divsChild>
            <w:div w:id="369782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 Abedi</dc:creator>
  <cp:lastModifiedBy>Mohsen Abedi</cp:lastModifiedBy>
  <cp:revision>1</cp:revision>
  <dcterms:created xsi:type="dcterms:W3CDTF">2023-09-05T06:49:00Z</dcterms:created>
  <dcterms:modified xsi:type="dcterms:W3CDTF">2023-09-05T07:30:00Z</dcterms:modified>
</cp:coreProperties>
</file>